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6FF3A" w14:textId="1E142680" w:rsidR="00E23DF5" w:rsidRDefault="00E23DF5" w:rsidP="00E23DF5">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A1374E">
        <w:rPr>
          <w:rFonts w:cs="Arial"/>
          <w:b/>
          <w:sz w:val="22"/>
          <w:lang w:val="en-US"/>
        </w:rPr>
        <w:t>12</w:t>
      </w:r>
      <w:r w:rsidR="00420C85">
        <w:rPr>
          <w:rFonts w:cs="Arial"/>
          <w:b/>
          <w:sz w:val="22"/>
          <w:lang w:val="en-US"/>
        </w:rPr>
        <w:t>1</w:t>
      </w:r>
      <w:r w:rsidR="00420C85">
        <w:rPr>
          <w:rFonts w:cs="Arial" w:hint="eastAsia"/>
          <w:b/>
          <w:sz w:val="22"/>
          <w:lang w:val="en-US" w:eastAsia="zh-CN"/>
        </w:rPr>
        <w:t>bis</w:t>
      </w:r>
      <w:r>
        <w:rPr>
          <w:rFonts w:cs="Arial"/>
          <w:b/>
          <w:i/>
          <w:sz w:val="22"/>
          <w:lang w:val="en-US"/>
        </w:rPr>
        <w:tab/>
      </w:r>
      <w:r w:rsidR="00F51663" w:rsidRPr="00F51663">
        <w:rPr>
          <w:rFonts w:cs="Arial"/>
          <w:b/>
          <w:i/>
          <w:sz w:val="22"/>
          <w:lang w:val="en-US" w:eastAsia="zh-CN"/>
        </w:rPr>
        <w:t>R2-</w:t>
      </w:r>
      <w:r w:rsidR="002D533B" w:rsidRPr="00F51663">
        <w:rPr>
          <w:rFonts w:cs="Arial"/>
          <w:b/>
          <w:i/>
          <w:sz w:val="22"/>
          <w:lang w:val="en-US" w:eastAsia="zh-CN"/>
        </w:rPr>
        <w:t>230</w:t>
      </w:r>
      <w:r w:rsidR="00420C85">
        <w:rPr>
          <w:rFonts w:cs="Arial"/>
          <w:b/>
          <w:i/>
          <w:sz w:val="22"/>
          <w:lang w:val="en-US" w:eastAsia="zh-CN"/>
        </w:rPr>
        <w:t>2571</w:t>
      </w:r>
    </w:p>
    <w:p w14:paraId="3F17F203" w14:textId="49CC162B" w:rsidR="00FB3C9D" w:rsidRDefault="002D533B">
      <w:pPr>
        <w:tabs>
          <w:tab w:val="left" w:pos="1701"/>
          <w:tab w:val="right" w:pos="9639"/>
        </w:tabs>
        <w:spacing w:after="0"/>
        <w:rPr>
          <w:rFonts w:cs="Arial"/>
          <w:b/>
          <w:color w:val="000000"/>
          <w:sz w:val="24"/>
        </w:rPr>
      </w:pPr>
      <w:r>
        <w:rPr>
          <w:rFonts w:cs="Arial"/>
          <w:b/>
          <w:sz w:val="22"/>
          <w:lang w:val="en-US"/>
        </w:rPr>
        <w:t>E-meeting</w:t>
      </w:r>
      <w:r w:rsidR="00A1374E" w:rsidRPr="00A1374E">
        <w:rPr>
          <w:rFonts w:cs="Arial"/>
          <w:b/>
          <w:sz w:val="22"/>
          <w:lang w:val="en-US"/>
        </w:rPr>
        <w:t xml:space="preserve">, </w:t>
      </w:r>
      <w:r>
        <w:rPr>
          <w:rFonts w:cs="Arial"/>
          <w:b/>
          <w:sz w:val="22"/>
          <w:lang w:val="en-US"/>
        </w:rPr>
        <w:t>April</w:t>
      </w:r>
      <w:r w:rsidR="00A1374E" w:rsidRPr="00A1374E" w:rsidDel="00A1374E">
        <w:rPr>
          <w:rFonts w:cs="Arial"/>
          <w:b/>
          <w:sz w:val="22"/>
          <w:lang w:val="en-US"/>
        </w:rPr>
        <w:t xml:space="preserve"> </w:t>
      </w:r>
      <w:r w:rsidR="00E23DF5" w:rsidRPr="00520400">
        <w:rPr>
          <w:rFonts w:cs="Arial"/>
          <w:b/>
          <w:sz w:val="22"/>
          <w:lang w:val="en-US"/>
        </w:rPr>
        <w:t>202</w:t>
      </w:r>
      <w:bookmarkEnd w:id="0"/>
      <w:bookmarkEnd w:id="1"/>
      <w:bookmarkEnd w:id="2"/>
      <w:bookmarkEnd w:id="3"/>
      <w:r w:rsidR="00A1374E">
        <w:rPr>
          <w:rFonts w:cs="Arial"/>
          <w:b/>
          <w:sz w:val="22"/>
          <w:lang w:val="en-US"/>
        </w:rPr>
        <w:t>3</w:t>
      </w:r>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4407C2B7" w:rsidR="00FB3C9D" w:rsidRDefault="003D1DDD">
      <w:pPr>
        <w:pStyle w:val="3GPPHeader"/>
        <w:rPr>
          <w:sz w:val="22"/>
        </w:rPr>
      </w:pPr>
      <w:r>
        <w:rPr>
          <w:sz w:val="22"/>
        </w:rPr>
        <w:t>Agenda Item:</w:t>
      </w:r>
      <w:r>
        <w:rPr>
          <w:sz w:val="22"/>
        </w:rPr>
        <w:tab/>
      </w:r>
      <w:r w:rsidR="00420C85">
        <w:rPr>
          <w:sz w:val="22"/>
        </w:rPr>
        <w:t>7</w:t>
      </w:r>
      <w:r w:rsidR="00E31D0E">
        <w:rPr>
          <w:sz w:val="22"/>
        </w:rPr>
        <w:t>.</w:t>
      </w:r>
      <w:r w:rsidR="005E411B">
        <w:rPr>
          <w:sz w:val="22"/>
        </w:rPr>
        <w:t>15</w:t>
      </w:r>
      <w:r w:rsidR="00E31D0E">
        <w:rPr>
          <w:sz w:val="22"/>
        </w:rPr>
        <w:t>.</w:t>
      </w:r>
      <w:r w:rsidR="00420C85">
        <w:rPr>
          <w:sz w:val="22"/>
        </w:rPr>
        <w:t>3</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0BB884DB" w:rsidR="00FB3C9D" w:rsidRDefault="003D1DDD">
      <w:pPr>
        <w:pStyle w:val="3GPPHeader"/>
        <w:rPr>
          <w:sz w:val="22"/>
        </w:rPr>
      </w:pPr>
      <w:r>
        <w:rPr>
          <w:sz w:val="22"/>
        </w:rPr>
        <w:t>Title:</w:t>
      </w:r>
      <w:r>
        <w:rPr>
          <w:sz w:val="22"/>
        </w:rPr>
        <w:tab/>
        <w:t xml:space="preserve">Discussion on </w:t>
      </w:r>
      <w:r w:rsidR="002D533B">
        <w:rPr>
          <w:sz w:val="22"/>
        </w:rPr>
        <w:t>COT Sharing and LCP Enhancement</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44D5DC77" w14:textId="286F2000" w:rsidR="00041594" w:rsidRPr="00041594" w:rsidRDefault="003D1DDD" w:rsidP="00E54656">
      <w:pPr>
        <w:rPr>
          <w:rFonts w:eastAsia="Batang"/>
          <w:lang w:eastAsia="ko-KR"/>
        </w:rPr>
      </w:pPr>
      <w:r>
        <w:rPr>
          <w:lang w:eastAsia="ko-KR"/>
        </w:rPr>
        <w:t xml:space="preserve">This paper </w:t>
      </w:r>
      <w:r w:rsidR="002D533B">
        <w:rPr>
          <w:lang w:eastAsia="ko-KR"/>
        </w:rPr>
        <w:t>is to further discuss on COT sharing and LCP enhancement</w:t>
      </w:r>
      <w:r>
        <w:rPr>
          <w:lang w:eastAsia="ko-KR"/>
        </w:rPr>
        <w:t xml:space="preserve">. </w:t>
      </w:r>
      <w:bookmarkEnd w:id="5"/>
    </w:p>
    <w:p w14:paraId="0440FABE" w14:textId="737B2981" w:rsidR="00FB3C9D" w:rsidRDefault="003D1DDD">
      <w:pPr>
        <w:pStyle w:val="1"/>
      </w:pPr>
      <w:r>
        <w:t>Discussion</w:t>
      </w:r>
    </w:p>
    <w:p w14:paraId="330CAC22" w14:textId="77777777" w:rsidR="002D533B" w:rsidRDefault="002D533B" w:rsidP="002D533B">
      <w:pPr>
        <w:pStyle w:val="20"/>
      </w:pPr>
      <w:r>
        <w:rPr>
          <w:rFonts w:hint="eastAsia"/>
        </w:rPr>
        <w:t>C</w:t>
      </w:r>
      <w:r>
        <w:t>OT Sharing</w:t>
      </w:r>
    </w:p>
    <w:p w14:paraId="070C6B38" w14:textId="4DEC535A" w:rsidR="002D533B" w:rsidRDefault="002D533B" w:rsidP="002D533B">
      <w:r>
        <w:rPr>
          <w:rFonts w:hint="eastAsia"/>
        </w:rPr>
        <w:t>I</w:t>
      </w:r>
      <w:r>
        <w:t xml:space="preserve">n 121, the following conclusion was </w:t>
      </w:r>
      <w:proofErr w:type="gramStart"/>
      <w:r>
        <w:t>reached</w:t>
      </w:r>
      <w:proofErr w:type="gramEnd"/>
    </w:p>
    <w:p w14:paraId="1AF53566" w14:textId="77777777" w:rsidR="002D533B" w:rsidRPr="005F1AFD" w:rsidRDefault="002D533B" w:rsidP="00420C85">
      <w:pPr>
        <w:pBdr>
          <w:top w:val="single" w:sz="4" w:space="1" w:color="auto"/>
          <w:left w:val="single" w:sz="4" w:space="4" w:color="auto"/>
          <w:bottom w:val="single" w:sz="4" w:space="1" w:color="auto"/>
          <w:right w:val="single" w:sz="4" w:space="4" w:color="auto"/>
        </w:pBdr>
        <w:tabs>
          <w:tab w:val="left" w:pos="1622"/>
        </w:tabs>
        <w:ind w:left="363" w:hanging="363"/>
      </w:pPr>
      <w:r w:rsidRPr="005F1AFD">
        <w:t>Agreement</w:t>
      </w:r>
      <w:r>
        <w:t xml:space="preserve"> on SL LCP and COT</w:t>
      </w:r>
    </w:p>
    <w:p w14:paraId="4C0E3BCF" w14:textId="77777777" w:rsidR="002D533B" w:rsidRDefault="002D533B" w:rsidP="00420C85">
      <w:pPr>
        <w:pBdr>
          <w:top w:val="single" w:sz="4" w:space="1" w:color="auto"/>
          <w:left w:val="single" w:sz="4" w:space="4" w:color="auto"/>
          <w:bottom w:val="single" w:sz="4" w:space="1" w:color="auto"/>
          <w:right w:val="single" w:sz="4" w:space="4" w:color="auto"/>
        </w:pBdr>
        <w:tabs>
          <w:tab w:val="left" w:pos="1622"/>
        </w:tabs>
        <w:ind w:left="363" w:hanging="363"/>
      </w:pPr>
      <w:r>
        <w:t xml:space="preserve">1: </w:t>
      </w:r>
      <w:r>
        <w:tab/>
      </w:r>
      <w:r w:rsidRPr="00171782">
        <w:t xml:space="preserve">UE can select 1/ either to do a changed-LCP, in order to satisfy the COT requirement, and to do the type-2 LBT (How to do the LCP can be decided after RAN1 agreement) 2/ or to do a legacy-LCP, </w:t>
      </w:r>
      <w:proofErr w:type="gramStart"/>
      <w:r>
        <w:t>e.g.</w:t>
      </w:r>
      <w:proofErr w:type="gramEnd"/>
      <w:r>
        <w:t xml:space="preserve"> </w:t>
      </w:r>
      <w:r w:rsidRPr="00171782">
        <w:t>using type-1</w:t>
      </w:r>
      <w:r>
        <w:t xml:space="preserve">, type-2 LBT. FFS on the need of assistance INFO to initiating UE. </w:t>
      </w:r>
      <w:r w:rsidRPr="00420C85">
        <w:rPr>
          <w:highlight w:val="green"/>
        </w:rPr>
        <w:t>FFS on spec impact, e.g., conditions for UE to choose either solution.</w:t>
      </w:r>
    </w:p>
    <w:p w14:paraId="7E467836" w14:textId="3CCF22CD" w:rsidR="002D533B" w:rsidRDefault="002D533B" w:rsidP="002D533B">
      <w:r>
        <w:rPr>
          <w:rFonts w:hint="eastAsia"/>
        </w:rPr>
        <w:t>F</w:t>
      </w:r>
      <w:r>
        <w:t xml:space="preserve">irstly, the issue is on the </w:t>
      </w:r>
      <w:r w:rsidRPr="00420C85">
        <w:rPr>
          <w:highlight w:val="green"/>
        </w:rPr>
        <w:t>last</w:t>
      </w:r>
      <w:r>
        <w:t xml:space="preserve"> FFS point, i.e., how for UE to choose either solution.</w:t>
      </w:r>
    </w:p>
    <w:p w14:paraId="00098529" w14:textId="77777777" w:rsidR="002D533B" w:rsidRDefault="002D533B" w:rsidP="002D533B">
      <w:r>
        <w:rPr>
          <w:rFonts w:hint="eastAsia"/>
        </w:rPr>
        <w:t>F</w:t>
      </w:r>
      <w:r>
        <w:t xml:space="preserve">or UE to choose an enhanced-LCP, it needs to </w:t>
      </w:r>
      <w:proofErr w:type="gramStart"/>
      <w:r>
        <w:t>judge</w:t>
      </w:r>
      <w:proofErr w:type="gramEnd"/>
      <w:r>
        <w:t xml:space="preserve"> </w:t>
      </w:r>
    </w:p>
    <w:p w14:paraId="78F579DE" w14:textId="53D0F37B" w:rsidR="002D533B" w:rsidRDefault="002D533B" w:rsidP="00420C85">
      <w:pPr>
        <w:pStyle w:val="aff4"/>
        <w:numPr>
          <w:ilvl w:val="0"/>
          <w:numId w:val="35"/>
        </w:numPr>
        <w:ind w:left="357" w:hanging="357"/>
        <w:contextualSpacing w:val="0"/>
      </w:pPr>
      <w:r>
        <w:t xml:space="preserve">the COT is </w:t>
      </w:r>
      <w:proofErr w:type="gramStart"/>
      <w:r>
        <w:t>usable</w:t>
      </w:r>
      <w:proofErr w:type="gramEnd"/>
      <w:r>
        <w:t xml:space="preserve"> and UE selects to use type-2 LBT by making use of the COT</w:t>
      </w:r>
    </w:p>
    <w:p w14:paraId="7176EB56" w14:textId="75063DBE" w:rsidR="002D533B" w:rsidRDefault="002D533B" w:rsidP="00420C85">
      <w:pPr>
        <w:pStyle w:val="aff4"/>
        <w:numPr>
          <w:ilvl w:val="0"/>
          <w:numId w:val="35"/>
        </w:numPr>
        <w:ind w:left="357" w:hanging="357"/>
        <w:contextualSpacing w:val="0"/>
      </w:pPr>
      <w:r>
        <w:t xml:space="preserve">there is data in buffer that can satisfy the COT requirement. </w:t>
      </w:r>
    </w:p>
    <w:p w14:paraId="7B13C5C7" w14:textId="277219C2" w:rsidR="002D533B" w:rsidRDefault="002D533B" w:rsidP="002D533B">
      <w:r>
        <w:t>Where condition-1 is a joint jud</w:t>
      </w:r>
      <w:r w:rsidR="009811BD">
        <w:t>g</w:t>
      </w:r>
      <w:r>
        <w:t xml:space="preserve">ment between PHY and MAC, since it means the </w:t>
      </w:r>
    </w:p>
    <w:p w14:paraId="0B29A299" w14:textId="5B0A078F" w:rsidR="002D533B" w:rsidRDefault="002D533B" w:rsidP="00420C85">
      <w:pPr>
        <w:pStyle w:val="aff4"/>
        <w:numPr>
          <w:ilvl w:val="0"/>
          <w:numId w:val="36"/>
        </w:numPr>
        <w:ind w:left="357" w:hanging="357"/>
        <w:contextualSpacing w:val="0"/>
      </w:pPr>
      <w:r>
        <w:t>On the one hand, the resources of the COT passed the PHY-layer resource exclusion step for sensing, and are thus included in set-</w:t>
      </w:r>
      <w:proofErr w:type="gramStart"/>
      <w:r>
        <w:t>A;</w:t>
      </w:r>
      <w:proofErr w:type="gramEnd"/>
    </w:p>
    <w:p w14:paraId="2EFC8211" w14:textId="5945A3F8" w:rsidR="002D533B" w:rsidRDefault="002D533B" w:rsidP="002D533B">
      <w:pPr>
        <w:pStyle w:val="aff4"/>
        <w:numPr>
          <w:ilvl w:val="0"/>
          <w:numId w:val="36"/>
        </w:numPr>
        <w:ind w:left="357" w:hanging="357"/>
        <w:contextualSpacing w:val="0"/>
      </w:pPr>
      <w:r>
        <w:rPr>
          <w:rFonts w:hint="eastAsia"/>
        </w:rPr>
        <w:t>O</w:t>
      </w:r>
      <w:r>
        <w:t xml:space="preserve">n the other hand, MAC layer judges </w:t>
      </w:r>
      <w:r w:rsidRPr="00420C85">
        <w:rPr>
          <w:highlight w:val="yellow"/>
        </w:rPr>
        <w:t>it can be a responder UE of the COT</w:t>
      </w:r>
      <w:r>
        <w:t xml:space="preserve">, and it decides to take the advantage of the COT by using type-2 </w:t>
      </w:r>
      <w:proofErr w:type="gramStart"/>
      <w:r>
        <w:t>LBT;</w:t>
      </w:r>
      <w:proofErr w:type="gramEnd"/>
    </w:p>
    <w:p w14:paraId="5FB049D8" w14:textId="0E854DD6" w:rsidR="002D533B" w:rsidRDefault="003C5B49" w:rsidP="002D533B">
      <w:r>
        <w:t xml:space="preserve">For the </w:t>
      </w:r>
      <w:r w:rsidRPr="00420C85">
        <w:rPr>
          <w:highlight w:val="yellow"/>
        </w:rPr>
        <w:t>requirement</w:t>
      </w:r>
      <w:r>
        <w:t xml:space="preserve"> above, it can be based on RAN1 conclusion </w:t>
      </w:r>
      <w:proofErr w:type="gramStart"/>
      <w:r>
        <w:t>below</w:t>
      </w:r>
      <w:proofErr w:type="gramEnd"/>
    </w:p>
    <w:p w14:paraId="4CF12D96" w14:textId="4D6F23DD" w:rsidR="003C5B49" w:rsidRDefault="003C5B49" w:rsidP="00420C85">
      <w:pPr>
        <w:pBdr>
          <w:top w:val="single" w:sz="4" w:space="0" w:color="auto"/>
          <w:left w:val="single" w:sz="4" w:space="0" w:color="auto"/>
          <w:bottom w:val="single" w:sz="4" w:space="0" w:color="auto"/>
          <w:right w:val="single" w:sz="4" w:space="0" w:color="auto"/>
          <w:between w:val="none" w:sz="0" w:space="0" w:color="auto"/>
        </w:pBdr>
      </w:pPr>
      <w:r>
        <w:t>A responding UE   over a shared COT   can be:</w:t>
      </w:r>
    </w:p>
    <w:p w14:paraId="5B6EB5CC" w14:textId="77777777" w:rsidR="003C5B49" w:rsidRDefault="003C5B49" w:rsidP="00420C85">
      <w:pPr>
        <w:pBdr>
          <w:top w:val="single" w:sz="4" w:space="0" w:color="auto"/>
          <w:left w:val="single" w:sz="4" w:space="0" w:color="auto"/>
          <w:bottom w:val="single" w:sz="4" w:space="0" w:color="auto"/>
          <w:right w:val="single" w:sz="4" w:space="0" w:color="auto"/>
          <w:between w:val="none" w:sz="0" w:space="0" w:color="auto"/>
        </w:pBdr>
      </w:pPr>
      <w:r>
        <w:t>o</w:t>
      </w:r>
      <w:r>
        <w:tab/>
        <w:t>a receiving   UE, which is the target of a PSCCH/PSSCH   transmission of a COT initiator</w:t>
      </w:r>
    </w:p>
    <w:p w14:paraId="414138F0" w14:textId="77777777" w:rsidR="003C5B49" w:rsidRDefault="003C5B49" w:rsidP="00420C85">
      <w:pPr>
        <w:pBdr>
          <w:top w:val="single" w:sz="4" w:space="0" w:color="auto"/>
          <w:left w:val="single" w:sz="4" w:space="0" w:color="auto"/>
          <w:bottom w:val="single" w:sz="4" w:space="0" w:color="auto"/>
          <w:right w:val="single" w:sz="4" w:space="0" w:color="auto"/>
          <w:between w:val="none" w:sz="0" w:space="0" w:color="auto"/>
        </w:pBdr>
      </w:pPr>
      <w:r>
        <w:t></w:t>
      </w:r>
      <w:r>
        <w:tab/>
        <w:t>In the case of unicast from the COT initiator, within the same COT when the source and destination IDs contained in the COT initiator’s SCI match to the corresponding destination and source IDs relating to the same unicast at the receiving UE</w:t>
      </w:r>
    </w:p>
    <w:p w14:paraId="7E322341" w14:textId="77777777" w:rsidR="003C5B49" w:rsidRDefault="003C5B49" w:rsidP="00420C85">
      <w:pPr>
        <w:pBdr>
          <w:top w:val="single" w:sz="4" w:space="0" w:color="auto"/>
          <w:left w:val="single" w:sz="4" w:space="0" w:color="auto"/>
          <w:bottom w:val="single" w:sz="4" w:space="0" w:color="auto"/>
          <w:right w:val="single" w:sz="4" w:space="0" w:color="auto"/>
          <w:between w:val="none" w:sz="0" w:space="0" w:color="auto"/>
        </w:pBdr>
      </w:pPr>
      <w:r>
        <w:t></w:t>
      </w:r>
      <w:r>
        <w:tab/>
        <w:t>In the case of groupcast and broadcast, when the destination ID contained in the COT initiator’s SCI match to a destination ID known at the receiving UE</w:t>
      </w:r>
    </w:p>
    <w:p w14:paraId="647F6D2C" w14:textId="77777777" w:rsidR="003C5B49" w:rsidRDefault="003C5B49" w:rsidP="00420C85">
      <w:pPr>
        <w:pBdr>
          <w:top w:val="single" w:sz="4" w:space="0" w:color="auto"/>
          <w:left w:val="single" w:sz="4" w:space="0" w:color="auto"/>
          <w:bottom w:val="single" w:sz="4" w:space="0" w:color="auto"/>
          <w:right w:val="single" w:sz="4" w:space="0" w:color="auto"/>
          <w:between w:val="none" w:sz="0" w:space="0" w:color="auto"/>
        </w:pBdr>
      </w:pPr>
      <w:r>
        <w:t>o</w:t>
      </w:r>
      <w:r>
        <w:tab/>
        <w:t>a UE identified by ID(s), if additional IDs are supported in the COT sharing information (in addition to the source and destination IDs of the PSCCH/PSSCH transmission), when additional IDs are included in the COT sharing information from the COT initiator</w:t>
      </w:r>
    </w:p>
    <w:p w14:paraId="2B07D646" w14:textId="078C14DE" w:rsidR="003C5B49" w:rsidRDefault="003C5B49" w:rsidP="00420C85">
      <w:pPr>
        <w:pBdr>
          <w:top w:val="single" w:sz="4" w:space="0" w:color="auto"/>
          <w:left w:val="single" w:sz="4" w:space="0" w:color="auto"/>
          <w:bottom w:val="single" w:sz="4" w:space="0" w:color="auto"/>
          <w:right w:val="single" w:sz="4" w:space="0" w:color="auto"/>
          <w:between w:val="none" w:sz="0" w:space="0" w:color="auto"/>
        </w:pBdr>
      </w:pPr>
      <w:r>
        <w:lastRenderedPageBreak/>
        <w:t></w:t>
      </w:r>
      <w:r>
        <w:tab/>
        <w:t xml:space="preserve">FFS Limitations on what additional IDs may be included and how they may be indicated    </w:t>
      </w:r>
    </w:p>
    <w:p w14:paraId="1C42DF60" w14:textId="4C9419A5" w:rsidR="003C5B49" w:rsidRDefault="003C5B49" w:rsidP="002D533B">
      <w:r>
        <w:rPr>
          <w:rFonts w:hint="eastAsia"/>
        </w:rPr>
        <w:t>W</w:t>
      </w:r>
      <w:r>
        <w:t>here condition-2 can be split into two sub-cases</w:t>
      </w:r>
    </w:p>
    <w:p w14:paraId="68A8A661" w14:textId="4BADE114" w:rsidR="003C5B49" w:rsidRDefault="003C5B49" w:rsidP="00420C85">
      <w:pPr>
        <w:pStyle w:val="aff4"/>
        <w:numPr>
          <w:ilvl w:val="0"/>
          <w:numId w:val="37"/>
        </w:numPr>
        <w:ind w:left="357" w:hanging="357"/>
        <w:contextualSpacing w:val="0"/>
      </w:pPr>
      <w:r>
        <w:t xml:space="preserve">the MAC-PDU has not been generated, and there is data in RLC buffer that can satisfy the COT </w:t>
      </w:r>
      <w:proofErr w:type="gramStart"/>
      <w:r>
        <w:t>requirement;</w:t>
      </w:r>
      <w:proofErr w:type="gramEnd"/>
    </w:p>
    <w:p w14:paraId="31D6B651" w14:textId="0D387FAE" w:rsidR="003C5B49" w:rsidRDefault="003C5B49" w:rsidP="00420C85">
      <w:pPr>
        <w:pStyle w:val="aff4"/>
        <w:numPr>
          <w:ilvl w:val="0"/>
          <w:numId w:val="37"/>
        </w:numPr>
        <w:ind w:left="357" w:hanging="357"/>
        <w:contextualSpacing w:val="0"/>
      </w:pPr>
      <w:r>
        <w:rPr>
          <w:rFonts w:hint="eastAsia"/>
        </w:rPr>
        <w:t>t</w:t>
      </w:r>
      <w:r>
        <w:t>he MAC-PDU has been generated, and the generated MAC-PDU satisf</w:t>
      </w:r>
      <w:r w:rsidR="009811BD">
        <w:t>ies</w:t>
      </w:r>
      <w:r>
        <w:t xml:space="preserve"> the COT </w:t>
      </w:r>
      <w:proofErr w:type="gramStart"/>
      <w:r>
        <w:t>requirement;</w:t>
      </w:r>
      <w:proofErr w:type="gramEnd"/>
    </w:p>
    <w:p w14:paraId="08738D4D" w14:textId="7287531D" w:rsidR="002D533B" w:rsidRDefault="003C5B49" w:rsidP="003C5B49">
      <w:pPr>
        <w:pStyle w:val="Proposal"/>
      </w:pPr>
      <w:bookmarkStart w:id="6" w:name="_Toc131757648"/>
      <w:r>
        <w:rPr>
          <w:rFonts w:hint="eastAsia"/>
        </w:rPr>
        <w:t>A</w:t>
      </w:r>
      <w:r>
        <w:t xml:space="preserve"> UE can choose to make use of a shared COT via type-2 LBT, if 1) the COT resources are (re)selected based on set-A reported by PHY layer, and 2) there is data in buffer </w:t>
      </w:r>
      <w:r w:rsidR="00011A21">
        <w:t xml:space="preserve">(RLC buffer if MAC-PDU has not been generated, or HARQ buffer if MAC-PDU has been generated) </w:t>
      </w:r>
      <w:r>
        <w:t>that can satisfy the COT requirement.</w:t>
      </w:r>
      <w:r w:rsidR="00116ED1">
        <w:t xml:space="preserve"> Otherwise, the UE can only select type-1 LBT.</w:t>
      </w:r>
      <w:bookmarkEnd w:id="6"/>
    </w:p>
    <w:p w14:paraId="27413534" w14:textId="650385C4" w:rsidR="003C5B49" w:rsidRDefault="003C5B49" w:rsidP="003C5B49">
      <w:r>
        <w:rPr>
          <w:rFonts w:hint="eastAsia"/>
        </w:rPr>
        <w:t>O</w:t>
      </w:r>
      <w:r>
        <w:t xml:space="preserve">n the contrary, there is no need to conclude on the condition for UE to make use of type-1 LBT, since that is always a feasible option. </w:t>
      </w:r>
    </w:p>
    <w:p w14:paraId="532F9189" w14:textId="42097968" w:rsidR="003C5B49" w:rsidRDefault="003C5B49" w:rsidP="003C5B49">
      <w:r>
        <w:rPr>
          <w:rFonts w:hint="eastAsia"/>
        </w:rPr>
        <w:t>I</w:t>
      </w:r>
      <w:r>
        <w:t xml:space="preserve">f a UE chooses type-2 LBT / COT-sharing, </w:t>
      </w:r>
      <w:proofErr w:type="gramStart"/>
      <w:r>
        <w:t>then</w:t>
      </w:r>
      <w:proofErr w:type="gramEnd"/>
      <w:r>
        <w:t xml:space="preserve"> </w:t>
      </w:r>
    </w:p>
    <w:p w14:paraId="0083562A" w14:textId="612F220B" w:rsidR="003C5B49" w:rsidRDefault="003C5B49" w:rsidP="00420C85">
      <w:pPr>
        <w:pStyle w:val="aff4"/>
        <w:numPr>
          <w:ilvl w:val="0"/>
          <w:numId w:val="40"/>
        </w:numPr>
        <w:ind w:left="357" w:hanging="357"/>
        <w:contextualSpacing w:val="0"/>
      </w:pPr>
      <w:r>
        <w:t xml:space="preserve">Either the MAC-PDU has been generated, e.g., for the re-transmission </w:t>
      </w:r>
      <w:proofErr w:type="gramStart"/>
      <w:r>
        <w:t>case</w:t>
      </w:r>
      <w:proofErr w:type="gramEnd"/>
    </w:p>
    <w:p w14:paraId="360E7F5F" w14:textId="40AA88FC" w:rsidR="003C5B49" w:rsidRDefault="003C5B49" w:rsidP="003C5B49">
      <w:pPr>
        <w:pStyle w:val="aff4"/>
        <w:numPr>
          <w:ilvl w:val="0"/>
          <w:numId w:val="40"/>
        </w:numPr>
        <w:ind w:left="357" w:hanging="357"/>
        <w:contextualSpacing w:val="0"/>
      </w:pPr>
      <w:r>
        <w:rPr>
          <w:rFonts w:hint="eastAsia"/>
        </w:rPr>
        <w:t>O</w:t>
      </w:r>
      <w:r>
        <w:t xml:space="preserve">r the MAC-PDU has not been generated, where an enhanced LCP has to be </w:t>
      </w:r>
      <w:proofErr w:type="gramStart"/>
      <w:r>
        <w:t>adopted</w:t>
      </w:r>
      <w:proofErr w:type="gramEnd"/>
    </w:p>
    <w:p w14:paraId="6955FC3E" w14:textId="4B86F3F4" w:rsidR="003C5B49" w:rsidRDefault="003C5B49" w:rsidP="003C5B49">
      <w:r>
        <w:rPr>
          <w:rFonts w:hint="eastAsia"/>
        </w:rPr>
        <w:t>T</w:t>
      </w:r>
      <w:r>
        <w:t xml:space="preserve">he judgment can be summarized as the following </w:t>
      </w:r>
      <w:proofErr w:type="gramStart"/>
      <w:r>
        <w:t>figure</w:t>
      </w:r>
      <w:proofErr w:type="gramEnd"/>
    </w:p>
    <w:p w14:paraId="1EA11B62" w14:textId="54124347" w:rsidR="003C5B49" w:rsidRDefault="003C5B49" w:rsidP="00420C85">
      <w:pPr>
        <w:keepNext/>
        <w:spacing w:beforeLines="50" w:before="120" w:after="240"/>
        <w:jc w:val="center"/>
      </w:pPr>
      <w:r>
        <w:object w:dxaOrig="6795" w:dyaOrig="7830" w14:anchorId="5A5879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5pt;height:316.15pt" o:ole="">
            <v:imagedata r:id="rId8" o:title=""/>
          </v:shape>
          <o:OLEObject Type="Embed" ProgID="Visio.Drawing.15" ShapeID="_x0000_i1025" DrawAspect="Content" ObjectID="_1742370486" r:id="rId9"/>
        </w:object>
      </w:r>
    </w:p>
    <w:p w14:paraId="05877546" w14:textId="38F5E947" w:rsidR="003C5B49" w:rsidRPr="003C5B49" w:rsidRDefault="003C5B49" w:rsidP="00420C85">
      <w:pPr>
        <w:pStyle w:val="aff2"/>
        <w:spacing w:beforeLines="50" w:before="120"/>
      </w:pPr>
      <w:r>
        <w:t xml:space="preserve">Figure </w:t>
      </w:r>
      <w:r>
        <w:fldChar w:fldCharType="begin"/>
      </w:r>
      <w:r>
        <w:instrText xml:space="preserve"> SEQ Figure \* ARABIC </w:instrText>
      </w:r>
      <w:r>
        <w:fldChar w:fldCharType="separate"/>
      </w:r>
      <w:r>
        <w:rPr>
          <w:noProof/>
        </w:rPr>
        <w:t>1</w:t>
      </w:r>
      <w:r>
        <w:fldChar w:fldCharType="end"/>
      </w:r>
      <w:r>
        <w:t xml:space="preserve"> Flow-chart for UE to decide on using enhanced-LCP and legacy-LCP</w:t>
      </w:r>
    </w:p>
    <w:p w14:paraId="1D535800" w14:textId="097DA4DB" w:rsidR="003C5B49" w:rsidRDefault="003C5B49" w:rsidP="00420C85">
      <w:pPr>
        <w:pStyle w:val="Proposal"/>
      </w:pPr>
      <w:bookmarkStart w:id="7" w:name="_Toc131757649"/>
      <w:r>
        <w:t>For new-Tx case, if a UE chooses to make use of a shared COT via type-2 LBT, an enhanced-LCP procedure is used.</w:t>
      </w:r>
      <w:bookmarkEnd w:id="7"/>
      <w:r>
        <w:t xml:space="preserve"> </w:t>
      </w:r>
    </w:p>
    <w:p w14:paraId="393BD97C" w14:textId="38ED06E8" w:rsidR="003C5B49" w:rsidRDefault="003C5B49" w:rsidP="003C5B49">
      <w:pPr>
        <w:pStyle w:val="Proposal"/>
      </w:pPr>
      <w:bookmarkStart w:id="8" w:name="_Toc131757650"/>
      <w:r>
        <w:t>For new-Tx case, if a UE chooses to do type-1 LBT, a legacy-LCP procedure is used.</w:t>
      </w:r>
      <w:bookmarkEnd w:id="8"/>
      <w:r>
        <w:t xml:space="preserve"> </w:t>
      </w:r>
    </w:p>
    <w:p w14:paraId="340DBE6A" w14:textId="720CA092" w:rsidR="002D533B" w:rsidRDefault="002D533B" w:rsidP="002D533B">
      <w:pPr>
        <w:pStyle w:val="20"/>
      </w:pPr>
      <w:r>
        <w:rPr>
          <w:rFonts w:hint="eastAsia"/>
        </w:rPr>
        <w:t>L</w:t>
      </w:r>
      <w:r>
        <w:t>CP Enhancement</w:t>
      </w:r>
    </w:p>
    <w:p w14:paraId="6978F28E" w14:textId="79FB9138" w:rsidR="003C5B49" w:rsidRDefault="003C5B49" w:rsidP="003C5B49">
      <w:r>
        <w:rPr>
          <w:rFonts w:hint="eastAsia"/>
        </w:rPr>
        <w:t>I</w:t>
      </w:r>
      <w:r>
        <w:t>n the latest R1 meeting, the following conclusion was reached</w:t>
      </w:r>
    </w:p>
    <w:p w14:paraId="63FFFEEE" w14:textId="77777777" w:rsidR="003C5B49" w:rsidRDefault="003C5B49" w:rsidP="00420C85">
      <w:pPr>
        <w:pBdr>
          <w:top w:val="single" w:sz="4" w:space="0" w:color="auto"/>
          <w:left w:val="single" w:sz="4" w:space="0" w:color="auto"/>
          <w:bottom w:val="single" w:sz="4" w:space="0" w:color="auto"/>
          <w:right w:val="single" w:sz="4" w:space="0" w:color="auto"/>
          <w:between w:val="none" w:sz="0" w:space="0" w:color="auto"/>
        </w:pBdr>
      </w:pPr>
      <w:r w:rsidRPr="00420C85">
        <w:rPr>
          <w:highlight w:val="green"/>
        </w:rPr>
        <w:t>Agreement</w:t>
      </w:r>
    </w:p>
    <w:p w14:paraId="6EE3E546" w14:textId="77777777" w:rsidR="003C5B49" w:rsidRDefault="003C5B49" w:rsidP="00420C85">
      <w:pPr>
        <w:pBdr>
          <w:top w:val="single" w:sz="4" w:space="0" w:color="auto"/>
          <w:left w:val="single" w:sz="4" w:space="0" w:color="auto"/>
          <w:bottom w:val="single" w:sz="4" w:space="0" w:color="auto"/>
          <w:right w:val="single" w:sz="4" w:space="0" w:color="auto"/>
          <w:between w:val="none" w:sz="0" w:space="0" w:color="auto"/>
        </w:pBdr>
      </w:pPr>
      <w:r>
        <w:lastRenderedPageBreak/>
        <w:t>A responding UE’s PSSCH/PSCCH transmission(s) within RB set(s) corresponding to a shared COT is intended for the COT initiating UE when,</w:t>
      </w:r>
    </w:p>
    <w:p w14:paraId="37DF8F17" w14:textId="77777777" w:rsidR="003C5B49" w:rsidRDefault="003C5B49" w:rsidP="00420C85">
      <w:pPr>
        <w:pBdr>
          <w:top w:val="single" w:sz="4" w:space="0" w:color="auto"/>
          <w:left w:val="single" w:sz="4" w:space="0" w:color="auto"/>
          <w:bottom w:val="single" w:sz="4" w:space="0" w:color="auto"/>
          <w:right w:val="single" w:sz="4" w:space="0" w:color="auto"/>
          <w:between w:val="none" w:sz="0" w:space="0" w:color="auto"/>
        </w:pBdr>
      </w:pPr>
      <w:r>
        <w:rPr>
          <w:rFonts w:hint="eastAsia"/>
        </w:rPr>
        <w:t>•</w:t>
      </w:r>
      <w:r>
        <w:tab/>
        <w:t xml:space="preserve">In the case of unicast from the responding UE, </w:t>
      </w:r>
      <w:r w:rsidRPr="00420C85">
        <w:rPr>
          <w:highlight w:val="yellow"/>
        </w:rPr>
        <w:t>when the source and destination IDs contained in the responding UE’s PSCCH/PSSCH match to the destination and source IDs from a COT initiator’s unicast transmission that included COT sharing information</w:t>
      </w:r>
      <w:r>
        <w:t xml:space="preserve">, or </w:t>
      </w:r>
      <w:r w:rsidRPr="00420C85">
        <w:rPr>
          <w:highlight w:val="yellow"/>
        </w:rPr>
        <w:t>match to the additional ID(s) included in the COT sharing information (if supported)</w:t>
      </w:r>
      <w:r>
        <w:t xml:space="preserve"> </w:t>
      </w:r>
    </w:p>
    <w:p w14:paraId="42FF0927" w14:textId="1F800209" w:rsidR="003C5B49" w:rsidRDefault="003C5B49" w:rsidP="00420C85">
      <w:pPr>
        <w:pBdr>
          <w:top w:val="single" w:sz="4" w:space="0" w:color="auto"/>
          <w:left w:val="single" w:sz="4" w:space="0" w:color="auto"/>
          <w:bottom w:val="single" w:sz="4" w:space="0" w:color="auto"/>
          <w:right w:val="single" w:sz="4" w:space="0" w:color="auto"/>
          <w:between w:val="none" w:sz="0" w:space="0" w:color="auto"/>
        </w:pBdr>
      </w:pPr>
      <w:r>
        <w:rPr>
          <w:rFonts w:hint="eastAsia"/>
        </w:rPr>
        <w:t>•</w:t>
      </w:r>
      <w:r>
        <w:tab/>
      </w:r>
      <w:r w:rsidRPr="00420C85">
        <w:rPr>
          <w:highlight w:val="yellow"/>
        </w:rPr>
        <w:t>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w:t>
      </w:r>
      <w:r>
        <w:t xml:space="preserve"> FFS: all other details and additional restrictions</w:t>
      </w:r>
    </w:p>
    <w:p w14:paraId="0CDAD6C9" w14:textId="46CC65D9" w:rsidR="003C5B49" w:rsidRDefault="003C5B49" w:rsidP="003C5B49">
      <w:r>
        <w:rPr>
          <w:rFonts w:hint="eastAsia"/>
        </w:rPr>
        <w:t>A</w:t>
      </w:r>
      <w:r>
        <w:t>nd in previous R1 meeting, the following conclusion was reached</w:t>
      </w:r>
    </w:p>
    <w:p w14:paraId="0D4F7458" w14:textId="77777777" w:rsidR="003C5B49" w:rsidRDefault="003C5B49" w:rsidP="00420C85">
      <w:pPr>
        <w:pBdr>
          <w:top w:val="single" w:sz="4" w:space="0" w:color="auto"/>
          <w:left w:val="single" w:sz="4" w:space="0" w:color="auto"/>
          <w:bottom w:val="single" w:sz="4" w:space="0" w:color="auto"/>
          <w:right w:val="single" w:sz="4" w:space="0" w:color="auto"/>
          <w:between w:val="none" w:sz="0" w:space="0" w:color="auto"/>
        </w:pBdr>
      </w:pPr>
      <w:r w:rsidRPr="00420C85">
        <w:rPr>
          <w:highlight w:val="green"/>
        </w:rPr>
        <w:t>Agreement</w:t>
      </w:r>
    </w:p>
    <w:p w14:paraId="3C2F0CEA" w14:textId="77777777" w:rsidR="003C5B49" w:rsidRDefault="003C5B49" w:rsidP="00420C85">
      <w:pPr>
        <w:pBdr>
          <w:top w:val="single" w:sz="4" w:space="0" w:color="auto"/>
          <w:left w:val="single" w:sz="4" w:space="0" w:color="auto"/>
          <w:bottom w:val="single" w:sz="4" w:space="0" w:color="auto"/>
          <w:right w:val="single" w:sz="4" w:space="0" w:color="auto"/>
          <w:between w:val="none" w:sz="0" w:space="0" w:color="auto"/>
        </w:pBdr>
      </w:pPr>
      <w:r>
        <w:rPr>
          <w:rFonts w:hint="eastAsia"/>
        </w:rPr>
        <w:t>•</w:t>
      </w:r>
      <w:r>
        <w:tab/>
        <w:t>For UE-to-UE COT sharing, continue considering the following alternatives:</w:t>
      </w:r>
    </w:p>
    <w:p w14:paraId="740F48A4" w14:textId="77777777" w:rsidR="003C5B49" w:rsidRDefault="003C5B49" w:rsidP="00420C85">
      <w:pPr>
        <w:pBdr>
          <w:top w:val="single" w:sz="4" w:space="0" w:color="auto"/>
          <w:left w:val="single" w:sz="4" w:space="0" w:color="auto"/>
          <w:bottom w:val="single" w:sz="4" w:space="0" w:color="auto"/>
          <w:right w:val="single" w:sz="4" w:space="0" w:color="auto"/>
          <w:between w:val="none" w:sz="0" w:space="0" w:color="auto"/>
        </w:pBdr>
      </w:pPr>
      <w:r>
        <w:t>o</w:t>
      </w:r>
      <w:r>
        <w:tab/>
        <w:t>Alt. 1: A responding SL UE can utilize a COT shared by a COT initiating UE when the responding SL UE is a target receiver of the at least COT initiating UE’s PSSCH data transmission in the COT.</w:t>
      </w:r>
    </w:p>
    <w:p w14:paraId="0962C167" w14:textId="77777777" w:rsidR="003C5B49" w:rsidRDefault="003C5B49" w:rsidP="00420C85">
      <w:pPr>
        <w:pBdr>
          <w:top w:val="single" w:sz="4" w:space="0" w:color="auto"/>
          <w:left w:val="single" w:sz="4" w:space="0" w:color="auto"/>
          <w:bottom w:val="single" w:sz="4" w:space="0" w:color="auto"/>
          <w:right w:val="single" w:sz="4" w:space="0" w:color="auto"/>
          <w:between w:val="none" w:sz="0" w:space="0" w:color="auto"/>
        </w:pBdr>
      </w:pPr>
      <w:r>
        <w:t></w:t>
      </w:r>
      <w:r>
        <w:tab/>
        <w:t xml:space="preserve">When the responding UE uses the shared COT for its transmission </w:t>
      </w:r>
      <w:r w:rsidRPr="00420C85">
        <w:rPr>
          <w:highlight w:val="yellow"/>
        </w:rPr>
        <w:t>has an equal or smaller CAPC value</w:t>
      </w:r>
      <w:r>
        <w:t xml:space="preserve"> than the CAPC value indicated in a shared COT information</w:t>
      </w:r>
    </w:p>
    <w:p w14:paraId="2CA24FC8" w14:textId="77777777" w:rsidR="003C5B49" w:rsidRDefault="003C5B49" w:rsidP="00420C85">
      <w:pPr>
        <w:pBdr>
          <w:top w:val="single" w:sz="4" w:space="0" w:color="auto"/>
          <w:left w:val="single" w:sz="4" w:space="0" w:color="auto"/>
          <w:bottom w:val="single" w:sz="4" w:space="0" w:color="auto"/>
          <w:right w:val="single" w:sz="4" w:space="0" w:color="auto"/>
          <w:between w:val="none" w:sz="0" w:space="0" w:color="auto"/>
        </w:pBdr>
      </w:pPr>
      <w:r>
        <w:t></w:t>
      </w:r>
      <w:r>
        <w:tab/>
        <w:t>FFS any additional conditions</w:t>
      </w:r>
    </w:p>
    <w:p w14:paraId="69DB6A72" w14:textId="77777777" w:rsidR="003C5B49" w:rsidRDefault="003C5B49" w:rsidP="00420C85">
      <w:pPr>
        <w:pBdr>
          <w:top w:val="single" w:sz="4" w:space="0" w:color="auto"/>
          <w:left w:val="single" w:sz="4" w:space="0" w:color="auto"/>
          <w:bottom w:val="single" w:sz="4" w:space="0" w:color="auto"/>
          <w:right w:val="single" w:sz="4" w:space="0" w:color="auto"/>
          <w:between w:val="none" w:sz="0" w:space="0" w:color="auto"/>
        </w:pBdr>
      </w:pPr>
      <w:r>
        <w:t>o</w:t>
      </w:r>
      <w:r>
        <w:tab/>
        <w:t>Alt. 2: A responding SL UE can utilize a COT shared by a COT initiating UE when the responding SL UE is a target receiver of the COT initiating UE’s transmission in the COT.</w:t>
      </w:r>
    </w:p>
    <w:p w14:paraId="218F797F" w14:textId="77777777" w:rsidR="003C5B49" w:rsidRDefault="003C5B49" w:rsidP="00420C85">
      <w:pPr>
        <w:pBdr>
          <w:top w:val="single" w:sz="4" w:space="0" w:color="auto"/>
          <w:left w:val="single" w:sz="4" w:space="0" w:color="auto"/>
          <w:bottom w:val="single" w:sz="4" w:space="0" w:color="auto"/>
          <w:right w:val="single" w:sz="4" w:space="0" w:color="auto"/>
          <w:between w:val="none" w:sz="0" w:space="0" w:color="auto"/>
        </w:pBdr>
      </w:pPr>
      <w:r>
        <w:t></w:t>
      </w:r>
      <w:r>
        <w:tab/>
        <w:t xml:space="preserve">When the responding UE uses the shared COT for its transmission </w:t>
      </w:r>
      <w:r w:rsidRPr="00420C85">
        <w:rPr>
          <w:highlight w:val="yellow"/>
        </w:rPr>
        <w:t>has an equal or smaller CAPC value</w:t>
      </w:r>
      <w:r>
        <w:t xml:space="preserve"> than the CAPC value indicated in a shared COT information</w:t>
      </w:r>
    </w:p>
    <w:p w14:paraId="1834CE10" w14:textId="77777777" w:rsidR="003C5B49" w:rsidRDefault="003C5B49" w:rsidP="00420C85">
      <w:pPr>
        <w:pBdr>
          <w:top w:val="single" w:sz="4" w:space="0" w:color="auto"/>
          <w:left w:val="single" w:sz="4" w:space="0" w:color="auto"/>
          <w:bottom w:val="single" w:sz="4" w:space="0" w:color="auto"/>
          <w:right w:val="single" w:sz="4" w:space="0" w:color="auto"/>
          <w:between w:val="none" w:sz="0" w:space="0" w:color="auto"/>
        </w:pBdr>
      </w:pPr>
      <w:r>
        <w:t></w:t>
      </w:r>
      <w:r>
        <w:tab/>
        <w:t>FFS how to determine a SL UE is a target receiver</w:t>
      </w:r>
    </w:p>
    <w:p w14:paraId="3CD1F5E2" w14:textId="77777777" w:rsidR="003C5B49" w:rsidRDefault="003C5B49" w:rsidP="00420C85">
      <w:pPr>
        <w:pBdr>
          <w:top w:val="single" w:sz="4" w:space="0" w:color="auto"/>
          <w:left w:val="single" w:sz="4" w:space="0" w:color="auto"/>
          <w:bottom w:val="single" w:sz="4" w:space="0" w:color="auto"/>
          <w:right w:val="single" w:sz="4" w:space="0" w:color="auto"/>
          <w:between w:val="none" w:sz="0" w:space="0" w:color="auto"/>
        </w:pBdr>
      </w:pPr>
      <w:r>
        <w:t></w:t>
      </w:r>
      <w:r>
        <w:tab/>
        <w:t>FFS: details of the channel type of the COT initiating UE’s transmission</w:t>
      </w:r>
    </w:p>
    <w:p w14:paraId="5DD2B02C" w14:textId="77777777" w:rsidR="003C5B49" w:rsidRDefault="003C5B49" w:rsidP="00420C85">
      <w:pPr>
        <w:pBdr>
          <w:top w:val="single" w:sz="4" w:space="0" w:color="auto"/>
          <w:left w:val="single" w:sz="4" w:space="0" w:color="auto"/>
          <w:bottom w:val="single" w:sz="4" w:space="0" w:color="auto"/>
          <w:right w:val="single" w:sz="4" w:space="0" w:color="auto"/>
          <w:between w:val="none" w:sz="0" w:space="0" w:color="auto"/>
        </w:pBdr>
      </w:pPr>
      <w:r>
        <w:t></w:t>
      </w:r>
      <w:r>
        <w:tab/>
        <w:t>FFS any additional conditions</w:t>
      </w:r>
    </w:p>
    <w:p w14:paraId="76BD765A" w14:textId="77777777" w:rsidR="003C5B49" w:rsidRDefault="003C5B49" w:rsidP="00420C85">
      <w:pPr>
        <w:pBdr>
          <w:top w:val="single" w:sz="4" w:space="0" w:color="auto"/>
          <w:left w:val="single" w:sz="4" w:space="0" w:color="auto"/>
          <w:bottom w:val="single" w:sz="4" w:space="0" w:color="auto"/>
          <w:right w:val="single" w:sz="4" w:space="0" w:color="auto"/>
          <w:between w:val="none" w:sz="0" w:space="0" w:color="auto"/>
        </w:pBdr>
      </w:pPr>
      <w:r>
        <w:t>o</w:t>
      </w:r>
      <w:r>
        <w:tab/>
        <w:t>For Alt1 and Alt2: When a responding UE uses a shared COT for its transmission(s), the COT initiating UE is a target receiver of the responding UE’s transmission(s).</w:t>
      </w:r>
    </w:p>
    <w:p w14:paraId="5D7249E3" w14:textId="77777777" w:rsidR="003C5B49" w:rsidRDefault="003C5B49" w:rsidP="00420C85">
      <w:pPr>
        <w:pBdr>
          <w:top w:val="single" w:sz="4" w:space="0" w:color="auto"/>
          <w:left w:val="single" w:sz="4" w:space="0" w:color="auto"/>
          <w:bottom w:val="single" w:sz="4" w:space="0" w:color="auto"/>
          <w:right w:val="single" w:sz="4" w:space="0" w:color="auto"/>
          <w:between w:val="none" w:sz="0" w:space="0" w:color="auto"/>
        </w:pBdr>
      </w:pPr>
      <w:r>
        <w:t></w:t>
      </w:r>
      <w:r>
        <w:tab/>
        <w:t>FFS: details of the channel type of the responding UE’s transmission(s)</w:t>
      </w:r>
    </w:p>
    <w:p w14:paraId="04897896" w14:textId="77777777" w:rsidR="003C5B49" w:rsidRDefault="003C5B49" w:rsidP="00420C85">
      <w:pPr>
        <w:pBdr>
          <w:top w:val="single" w:sz="4" w:space="0" w:color="auto"/>
          <w:left w:val="single" w:sz="4" w:space="0" w:color="auto"/>
          <w:bottom w:val="single" w:sz="4" w:space="0" w:color="auto"/>
          <w:right w:val="single" w:sz="4" w:space="0" w:color="auto"/>
          <w:between w:val="none" w:sz="0" w:space="0" w:color="auto"/>
        </w:pBdr>
      </w:pPr>
      <w:r>
        <w:rPr>
          <w:rFonts w:hint="eastAsia"/>
        </w:rPr>
        <w:t>•</w:t>
      </w:r>
      <w:r>
        <w:tab/>
        <w:t>gNB relaying/forwarding a UE initiated COT to another UE is not supported in Rel-18</w:t>
      </w:r>
    </w:p>
    <w:p w14:paraId="2A6C04E2" w14:textId="28E3D448" w:rsidR="003C5B49" w:rsidRPr="003C5B49" w:rsidRDefault="003C5B49" w:rsidP="00420C85">
      <w:pPr>
        <w:pBdr>
          <w:top w:val="single" w:sz="4" w:space="0" w:color="auto"/>
          <w:left w:val="single" w:sz="4" w:space="0" w:color="auto"/>
          <w:bottom w:val="single" w:sz="4" w:space="0" w:color="auto"/>
          <w:right w:val="single" w:sz="4" w:space="0" w:color="auto"/>
          <w:between w:val="none" w:sz="0" w:space="0" w:color="auto"/>
        </w:pBdr>
      </w:pPr>
      <w:r>
        <w:rPr>
          <w:rFonts w:hint="eastAsia"/>
        </w:rPr>
        <w:t>•</w:t>
      </w:r>
      <w:r>
        <w:tab/>
        <w:t>FFS whether a Mode 1 UE can report a COT or related information to gNB for aiding Mode 1 RA</w:t>
      </w:r>
    </w:p>
    <w:p w14:paraId="6B32ED61" w14:textId="1349A4E5" w:rsidR="002D533B" w:rsidRDefault="003C5B49" w:rsidP="002D533B">
      <w:r>
        <w:t>Therefore, there are two potential impact</w:t>
      </w:r>
      <w:r w:rsidR="009811BD">
        <w:t>s</w:t>
      </w:r>
      <w:r>
        <w:t xml:space="preserve"> to LCP procedure.</w:t>
      </w:r>
    </w:p>
    <w:p w14:paraId="50A71D54" w14:textId="7E94DD0F" w:rsidR="003C5B49" w:rsidRDefault="003C5B49" w:rsidP="002D533B">
      <w:r>
        <w:t xml:space="preserve">One is on destination-selection, i.e., limit the destination to the ones allowed by the COT. </w:t>
      </w:r>
    </w:p>
    <w:p w14:paraId="2FF17FF6" w14:textId="4F95A0D3" w:rsidR="003C5B49" w:rsidRDefault="003C5B49" w:rsidP="00420C85">
      <w:pPr>
        <w:pStyle w:val="Proposal"/>
      </w:pPr>
      <w:bookmarkStart w:id="9" w:name="_Toc131757651"/>
      <w:r>
        <w:rPr>
          <w:rFonts w:hint="eastAsia"/>
        </w:rPr>
        <w:t>F</w:t>
      </w:r>
      <w:r>
        <w:t>or enhanced LCP, RAN2 discuss to limit the destination selection to the ones allowed by source/destination/additional ID of the COT (as defined by RAN1), and further down-selection within those destinations can be done based on priority as in legacy.</w:t>
      </w:r>
      <w:bookmarkEnd w:id="9"/>
      <w:r>
        <w:t xml:space="preserve"> </w:t>
      </w:r>
    </w:p>
    <w:p w14:paraId="3A47AB39" w14:textId="0B47A316" w:rsidR="003C5B49" w:rsidRDefault="003C5B49" w:rsidP="002D533B">
      <w:r>
        <w:rPr>
          <w:rFonts w:hint="eastAsia"/>
        </w:rPr>
        <w:t>A</w:t>
      </w:r>
      <w:r>
        <w:t>nother is LCH-selection, i.e., limit</w:t>
      </w:r>
      <w:r w:rsidR="009811BD">
        <w:t>ing</w:t>
      </w:r>
      <w:r>
        <w:t xml:space="preserve"> the LCH to the ones with equal or smaller CAPC value. </w:t>
      </w:r>
    </w:p>
    <w:p w14:paraId="63400F10" w14:textId="7DD28FE1" w:rsidR="003C5B49" w:rsidRDefault="003C5B49" w:rsidP="002D533B">
      <w:r>
        <w:rPr>
          <w:rFonts w:hint="eastAsia"/>
        </w:rPr>
        <w:t>B</w:t>
      </w:r>
      <w:r>
        <w:t>ased on previous RAN2 conclusion</w:t>
      </w:r>
    </w:p>
    <w:p w14:paraId="287F970D" w14:textId="77777777" w:rsidR="003C5B49" w:rsidRDefault="003C5B49" w:rsidP="00420C85">
      <w:pPr>
        <w:pBdr>
          <w:top w:val="single" w:sz="4" w:space="1" w:color="auto"/>
          <w:left w:val="single" w:sz="4" w:space="4" w:color="auto"/>
          <w:bottom w:val="single" w:sz="4" w:space="1" w:color="auto"/>
          <w:right w:val="single" w:sz="4" w:space="4" w:color="auto"/>
        </w:pBdr>
        <w:tabs>
          <w:tab w:val="left" w:pos="1622"/>
        </w:tabs>
        <w:ind w:left="363" w:hanging="363"/>
      </w:pPr>
      <w:r>
        <w:t>7:</w:t>
      </w:r>
      <w:r>
        <w:tab/>
        <w:t>If PQI-based CAPC mapping is agreed, as in NR-U, to determine the CAPC of the SL TB when the CAPC is not indicated in the DCI:</w:t>
      </w:r>
    </w:p>
    <w:p w14:paraId="41D292A8" w14:textId="77777777" w:rsidR="003C5B49" w:rsidRDefault="003C5B49" w:rsidP="00420C85">
      <w:pPr>
        <w:pBdr>
          <w:top w:val="single" w:sz="4" w:space="1" w:color="auto"/>
          <w:left w:val="single" w:sz="4" w:space="4" w:color="auto"/>
          <w:bottom w:val="single" w:sz="4" w:space="1" w:color="auto"/>
          <w:right w:val="single" w:sz="4" w:space="4" w:color="auto"/>
        </w:pBdr>
        <w:tabs>
          <w:tab w:val="left" w:pos="1622"/>
        </w:tabs>
        <w:ind w:left="363" w:hanging="363"/>
      </w:pPr>
      <w:r>
        <w:tab/>
        <w:t>- If only SL MAC CE(s) are included in the SL TB, the highest priority SL CAPC is used; FFS whether this rule can be extended to the case when SL MAC CE(s) multiplexed with STCH.</w:t>
      </w:r>
    </w:p>
    <w:p w14:paraId="46511511" w14:textId="77777777" w:rsidR="003C5B49" w:rsidRDefault="003C5B49" w:rsidP="00420C85">
      <w:pPr>
        <w:pBdr>
          <w:top w:val="single" w:sz="4" w:space="1" w:color="auto"/>
          <w:left w:val="single" w:sz="4" w:space="4" w:color="auto"/>
          <w:bottom w:val="single" w:sz="4" w:space="1" w:color="auto"/>
          <w:right w:val="single" w:sz="4" w:space="4" w:color="auto"/>
        </w:pBdr>
        <w:tabs>
          <w:tab w:val="left" w:pos="1622"/>
        </w:tabs>
        <w:ind w:left="363" w:hanging="363"/>
      </w:pPr>
      <w:r>
        <w:tab/>
        <w:t>- If SCCH SDU(s) are included in the SL TB, the highest priority SL CAPC is used;</w:t>
      </w:r>
    </w:p>
    <w:p w14:paraId="18F366BC" w14:textId="77777777" w:rsidR="003C5B49" w:rsidRDefault="003C5B49" w:rsidP="00420C85">
      <w:pPr>
        <w:pBdr>
          <w:top w:val="single" w:sz="4" w:space="1" w:color="auto"/>
          <w:left w:val="single" w:sz="4" w:space="4" w:color="auto"/>
          <w:bottom w:val="single" w:sz="4" w:space="1" w:color="auto"/>
          <w:right w:val="single" w:sz="4" w:space="4" w:color="auto"/>
        </w:pBdr>
        <w:tabs>
          <w:tab w:val="left" w:pos="1622"/>
        </w:tabs>
        <w:ind w:left="363" w:hanging="363"/>
      </w:pPr>
      <w:r>
        <w:t xml:space="preserve">1: </w:t>
      </w:r>
      <w:r>
        <w:tab/>
      </w:r>
      <w:r w:rsidRPr="00B05DA2">
        <w:t xml:space="preserve">As in NR-U, the lowest priority CAPC of the logical channel(s) </w:t>
      </w:r>
      <w:r>
        <w:t xml:space="preserve">with MAC SDU multiplexed in the </w:t>
      </w:r>
      <w:r w:rsidRPr="00B05DA2">
        <w:t>TB is used regardless of whether the TB also contains SL MAC CEs in addition to MAC SDUs.</w:t>
      </w:r>
    </w:p>
    <w:p w14:paraId="45C0F7E1" w14:textId="77777777" w:rsidR="003C5B49" w:rsidRDefault="003C5B49" w:rsidP="002D533B">
      <w:r>
        <w:rPr>
          <w:rFonts w:hint="eastAsia"/>
        </w:rPr>
        <w:t>T</w:t>
      </w:r>
      <w:r>
        <w:t>he main impact is on the case when 1) there is no SRB SDU(s) included, and 2) there is DRB SDU(s) included, the LCH which associates with higher CAPC values should be excluded.</w:t>
      </w:r>
    </w:p>
    <w:p w14:paraId="25EB5ADD" w14:textId="3069AF98" w:rsidR="003C5B49" w:rsidRDefault="003C5B49" w:rsidP="00420C85">
      <w:pPr>
        <w:pStyle w:val="Proposal"/>
      </w:pPr>
      <w:bookmarkStart w:id="10" w:name="_Toc131757652"/>
      <w:r>
        <w:lastRenderedPageBreak/>
        <w:t>For enhanced LCP, RAN2 discus</w:t>
      </w:r>
      <w:r w:rsidR="009811BD">
        <w:t>se</w:t>
      </w:r>
      <w:r>
        <w:t xml:space="preserve">s </w:t>
      </w:r>
      <w:r w:rsidR="009811BD">
        <w:t>limiting</w:t>
      </w:r>
      <w:r>
        <w:t xml:space="preserve"> the LCH selection to the ones with </w:t>
      </w:r>
      <w:r w:rsidR="009811BD">
        <w:t xml:space="preserve">the </w:t>
      </w:r>
      <w:r>
        <w:t>same or smaller CAPC values, when there is no SRB SDU(s) included.</w:t>
      </w:r>
      <w:bookmarkEnd w:id="10"/>
    </w:p>
    <w:p w14:paraId="5932AE02" w14:textId="77777777" w:rsidR="00140747" w:rsidRDefault="00140747" w:rsidP="00140747">
      <w:bookmarkStart w:id="11" w:name="_Toc114214864"/>
      <w:bookmarkStart w:id="12" w:name="_Toc114245162"/>
      <w:bookmarkStart w:id="13" w:name="_Toc126008719"/>
      <w:bookmarkEnd w:id="11"/>
      <w:bookmarkEnd w:id="12"/>
      <w:bookmarkEnd w:id="13"/>
    </w:p>
    <w:p w14:paraId="2E58CC51" w14:textId="77777777" w:rsidR="00FB3C9D" w:rsidRDefault="003D1DDD">
      <w:pPr>
        <w:pStyle w:val="1"/>
      </w:pPr>
      <w:bookmarkStart w:id="14" w:name="_Toc114153059"/>
      <w:bookmarkEnd w:id="14"/>
      <w:r>
        <w:t>Conclusion</w:t>
      </w:r>
    </w:p>
    <w:p w14:paraId="3F89E93E" w14:textId="02312DF8" w:rsidR="00932A4E" w:rsidRDefault="00932A4E" w:rsidP="00932A4E"/>
    <w:p w14:paraId="7962C03C" w14:textId="68311F48" w:rsidR="00FB3C9D" w:rsidRDefault="003D1DDD" w:rsidP="00932A4E">
      <w:r>
        <w:t>We have the following proposals:</w:t>
      </w:r>
    </w:p>
    <w:p w14:paraId="256A09B2" w14:textId="26235FDC" w:rsidR="00011A21"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31757648" w:history="1">
        <w:r w:rsidR="00011A21" w:rsidRPr="00D23283">
          <w:rPr>
            <w:rStyle w:val="af3"/>
            <w:noProof/>
          </w:rPr>
          <w:t>Proposal 1</w:t>
        </w:r>
        <w:r w:rsidR="00011A21">
          <w:rPr>
            <w:rFonts w:asciiTheme="minorHAnsi" w:eastAsiaTheme="minorEastAsia" w:hAnsiTheme="minorHAnsi" w:cstheme="minorBidi"/>
            <w:b w:val="0"/>
            <w:noProof/>
            <w:kern w:val="2"/>
            <w:sz w:val="21"/>
          </w:rPr>
          <w:tab/>
        </w:r>
        <w:r w:rsidR="00011A21" w:rsidRPr="00D23283">
          <w:rPr>
            <w:rStyle w:val="af3"/>
            <w:noProof/>
          </w:rPr>
          <w:t>A UE can choose to make use of a shared COT via type-2 LBT, if 1) the COT resources are (re)selected based on set-A reported by PHY layer, and 2) there is data in buffer (RLC buffer if MAC-PDU has not been generated, or HARQ buffer if MAC-PDU has been generated) that can satisfy the COT requirement. Otherwise, the UE can only select type-1 LBT.</w:t>
        </w:r>
      </w:hyperlink>
    </w:p>
    <w:p w14:paraId="7002CA3A" w14:textId="324E4D1B" w:rsidR="00011A21" w:rsidRDefault="00011A21">
      <w:pPr>
        <w:pStyle w:val="TOC1"/>
        <w:rPr>
          <w:rFonts w:asciiTheme="minorHAnsi" w:eastAsiaTheme="minorEastAsia" w:hAnsiTheme="minorHAnsi" w:cstheme="minorBidi"/>
          <w:b w:val="0"/>
          <w:noProof/>
          <w:kern w:val="2"/>
          <w:sz w:val="21"/>
        </w:rPr>
      </w:pPr>
      <w:hyperlink w:anchor="_Toc131757649" w:history="1">
        <w:r w:rsidRPr="00D23283">
          <w:rPr>
            <w:rStyle w:val="af3"/>
            <w:noProof/>
          </w:rPr>
          <w:t>Proposal 2</w:t>
        </w:r>
        <w:r>
          <w:rPr>
            <w:rFonts w:asciiTheme="minorHAnsi" w:eastAsiaTheme="minorEastAsia" w:hAnsiTheme="minorHAnsi" w:cstheme="minorBidi"/>
            <w:b w:val="0"/>
            <w:noProof/>
            <w:kern w:val="2"/>
            <w:sz w:val="21"/>
          </w:rPr>
          <w:tab/>
        </w:r>
        <w:r w:rsidRPr="00D23283">
          <w:rPr>
            <w:rStyle w:val="af3"/>
            <w:noProof/>
          </w:rPr>
          <w:t>For new-Tx case, if a UE chooses to make use of a shared COT via type-2 LBT, an enhanced-LCP procedure is used.</w:t>
        </w:r>
      </w:hyperlink>
    </w:p>
    <w:p w14:paraId="361507BC" w14:textId="337D9945" w:rsidR="00011A21" w:rsidRDefault="00011A21">
      <w:pPr>
        <w:pStyle w:val="TOC1"/>
        <w:rPr>
          <w:rFonts w:asciiTheme="minorHAnsi" w:eastAsiaTheme="minorEastAsia" w:hAnsiTheme="minorHAnsi" w:cstheme="minorBidi"/>
          <w:b w:val="0"/>
          <w:noProof/>
          <w:kern w:val="2"/>
          <w:sz w:val="21"/>
        </w:rPr>
      </w:pPr>
      <w:hyperlink w:anchor="_Toc131757650" w:history="1">
        <w:r w:rsidRPr="00D23283">
          <w:rPr>
            <w:rStyle w:val="af3"/>
            <w:noProof/>
          </w:rPr>
          <w:t>Proposal 3</w:t>
        </w:r>
        <w:r>
          <w:rPr>
            <w:rFonts w:asciiTheme="minorHAnsi" w:eastAsiaTheme="minorEastAsia" w:hAnsiTheme="minorHAnsi" w:cstheme="minorBidi"/>
            <w:b w:val="0"/>
            <w:noProof/>
            <w:kern w:val="2"/>
            <w:sz w:val="21"/>
          </w:rPr>
          <w:tab/>
        </w:r>
        <w:r w:rsidRPr="00D23283">
          <w:rPr>
            <w:rStyle w:val="af3"/>
            <w:noProof/>
          </w:rPr>
          <w:t>For new-Tx case, if a UE chooses to do type-1 LBT, a legacy-LCP procedure is used.</w:t>
        </w:r>
      </w:hyperlink>
    </w:p>
    <w:p w14:paraId="5FD68A17" w14:textId="32AA2E51" w:rsidR="00011A21" w:rsidRDefault="00011A21">
      <w:pPr>
        <w:pStyle w:val="TOC1"/>
        <w:rPr>
          <w:rFonts w:asciiTheme="minorHAnsi" w:eastAsiaTheme="minorEastAsia" w:hAnsiTheme="minorHAnsi" w:cstheme="minorBidi"/>
          <w:b w:val="0"/>
          <w:noProof/>
          <w:kern w:val="2"/>
          <w:sz w:val="21"/>
        </w:rPr>
      </w:pPr>
      <w:hyperlink w:anchor="_Toc131757651" w:history="1">
        <w:r w:rsidRPr="00D23283">
          <w:rPr>
            <w:rStyle w:val="af3"/>
            <w:noProof/>
          </w:rPr>
          <w:t>Proposal 4</w:t>
        </w:r>
        <w:r>
          <w:rPr>
            <w:rFonts w:asciiTheme="minorHAnsi" w:eastAsiaTheme="minorEastAsia" w:hAnsiTheme="minorHAnsi" w:cstheme="minorBidi"/>
            <w:b w:val="0"/>
            <w:noProof/>
            <w:kern w:val="2"/>
            <w:sz w:val="21"/>
          </w:rPr>
          <w:tab/>
        </w:r>
        <w:r w:rsidRPr="00D23283">
          <w:rPr>
            <w:rStyle w:val="af3"/>
            <w:noProof/>
          </w:rPr>
          <w:t>For enhanced LCP, RAN2 discuss to limit the destination selection to the ones allowed by source/destination/additional ID of the COT (as defined by RAN1), and further down-selection within those destinations can be done based on priority as in legacy.</w:t>
        </w:r>
      </w:hyperlink>
    </w:p>
    <w:p w14:paraId="447C898B" w14:textId="65EB4DC5" w:rsidR="00011A21" w:rsidRDefault="00011A21">
      <w:pPr>
        <w:pStyle w:val="TOC1"/>
        <w:rPr>
          <w:rFonts w:asciiTheme="minorHAnsi" w:eastAsiaTheme="minorEastAsia" w:hAnsiTheme="minorHAnsi" w:cstheme="minorBidi"/>
          <w:b w:val="0"/>
          <w:noProof/>
          <w:kern w:val="2"/>
          <w:sz w:val="21"/>
        </w:rPr>
      </w:pPr>
      <w:hyperlink w:anchor="_Toc131757652" w:history="1">
        <w:r w:rsidRPr="00D23283">
          <w:rPr>
            <w:rStyle w:val="af3"/>
            <w:noProof/>
          </w:rPr>
          <w:t>Proposal 5</w:t>
        </w:r>
        <w:r>
          <w:rPr>
            <w:rFonts w:asciiTheme="minorHAnsi" w:eastAsiaTheme="minorEastAsia" w:hAnsiTheme="minorHAnsi" w:cstheme="minorBidi"/>
            <w:b w:val="0"/>
            <w:noProof/>
            <w:kern w:val="2"/>
            <w:sz w:val="21"/>
          </w:rPr>
          <w:tab/>
        </w:r>
        <w:r w:rsidRPr="00D23283">
          <w:rPr>
            <w:rStyle w:val="af3"/>
            <w:noProof/>
          </w:rPr>
          <w:t>For enhanced LCP, RAN2 discusses limiting the LCH selection to the ones with the same or smaller CAPC values, when there is no SRB SDU(s) included.</w:t>
        </w:r>
      </w:hyperlink>
    </w:p>
    <w:p w14:paraId="709E4DDE" w14:textId="78B576A1"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15" w:name="_In-sequence_SDU_delivery"/>
      <w:bookmarkStart w:id="16" w:name="_Ref189809556"/>
      <w:bookmarkStart w:id="17" w:name="_Ref174151459"/>
      <w:bookmarkStart w:id="18" w:name="_Ref450865335"/>
      <w:bookmarkEnd w:id="15"/>
      <w:r>
        <w:rPr>
          <w:rFonts w:hint="eastAsia"/>
        </w:rPr>
        <w:t>Reference</w:t>
      </w:r>
      <w:bookmarkEnd w:id="16"/>
      <w:bookmarkEnd w:id="17"/>
      <w:bookmarkEnd w:id="18"/>
    </w:p>
    <w:p w14:paraId="7DA9E597" w14:textId="154C7A60" w:rsidR="000C7167" w:rsidRDefault="00627ECA" w:rsidP="0014425F">
      <w:r>
        <w:t>[</w:t>
      </w:r>
      <w:r w:rsidR="00140747">
        <w:t>1</w:t>
      </w:r>
      <w:r>
        <w:t xml:space="preserve">] </w:t>
      </w:r>
      <w:r w:rsidR="00AE085F" w:rsidRPr="00AE085F">
        <w:t>3GPP RP-230077, WID revision: NR sidelink evolution, OPPO</w:t>
      </w:r>
      <w:r w:rsidR="003C5B49">
        <w:rPr>
          <w:rFonts w:hint="eastAsia"/>
        </w:rPr>
        <w:t>xxx</w:t>
      </w:r>
    </w:p>
    <w:p w14:paraId="66A80CB6" w14:textId="77777777" w:rsidR="00FB3C9D" w:rsidRDefault="00FB3C9D">
      <w:pPr>
        <w:rPr>
          <w:lang w:val="en-US"/>
        </w:rPr>
      </w:pPr>
    </w:p>
    <w:sectPr w:rsidR="00FB3C9D">
      <w:footerReference w:type="default" r:id="rId10"/>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996D7" w14:textId="77777777" w:rsidR="00017609" w:rsidRDefault="00017609">
      <w:pPr>
        <w:spacing w:after="0"/>
      </w:pPr>
      <w:r>
        <w:separator/>
      </w:r>
    </w:p>
  </w:endnote>
  <w:endnote w:type="continuationSeparator" w:id="0">
    <w:p w14:paraId="060AE77B" w14:textId="77777777" w:rsidR="00017609" w:rsidRDefault="000176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AE2A69" w:rsidRDefault="00AE2A69">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18E53" w14:textId="77777777" w:rsidR="00017609" w:rsidRDefault="00017609">
      <w:pPr>
        <w:spacing w:after="0"/>
      </w:pPr>
      <w:r>
        <w:separator/>
      </w:r>
    </w:p>
  </w:footnote>
  <w:footnote w:type="continuationSeparator" w:id="0">
    <w:p w14:paraId="2DFB8692" w14:textId="77777777" w:rsidR="00017609" w:rsidRDefault="0001760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4F0D"/>
    <w:multiLevelType w:val="hybridMultilevel"/>
    <w:tmpl w:val="DC0671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FE3A4D"/>
    <w:multiLevelType w:val="hybridMultilevel"/>
    <w:tmpl w:val="8AC6448A"/>
    <w:lvl w:ilvl="0" w:tplc="78CEFFB0">
      <w:start w:val="5"/>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AD7743"/>
    <w:multiLevelType w:val="hybridMultilevel"/>
    <w:tmpl w:val="BAA26AAA"/>
    <w:lvl w:ilvl="0" w:tplc="083409FE">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8E631A7"/>
    <w:multiLevelType w:val="hybridMultilevel"/>
    <w:tmpl w:val="0AB8A250"/>
    <w:lvl w:ilvl="0" w:tplc="04090001">
      <w:start w:val="1"/>
      <w:numFmt w:val="bullet"/>
      <w:lvlText w:val=""/>
      <w:lvlJc w:val="left"/>
      <w:pPr>
        <w:ind w:left="-708" w:hanging="360"/>
      </w:pPr>
      <w:rPr>
        <w:rFonts w:ascii="Symbol" w:hAnsi="Symbol" w:hint="default"/>
      </w:rPr>
    </w:lvl>
    <w:lvl w:ilvl="1" w:tplc="04090003" w:tentative="1">
      <w:start w:val="1"/>
      <w:numFmt w:val="bullet"/>
      <w:lvlText w:val="o"/>
      <w:lvlJc w:val="left"/>
      <w:pPr>
        <w:ind w:left="12" w:hanging="360"/>
      </w:pPr>
      <w:rPr>
        <w:rFonts w:ascii="Courier New" w:hAnsi="Courier New" w:cs="Courier New" w:hint="default"/>
      </w:rPr>
    </w:lvl>
    <w:lvl w:ilvl="2" w:tplc="04090005" w:tentative="1">
      <w:start w:val="1"/>
      <w:numFmt w:val="bullet"/>
      <w:lvlText w:val=""/>
      <w:lvlJc w:val="left"/>
      <w:pPr>
        <w:ind w:left="732" w:hanging="360"/>
      </w:pPr>
      <w:rPr>
        <w:rFonts w:ascii="Wingdings" w:hAnsi="Wingdings" w:hint="default"/>
      </w:rPr>
    </w:lvl>
    <w:lvl w:ilvl="3" w:tplc="04090001" w:tentative="1">
      <w:start w:val="1"/>
      <w:numFmt w:val="bullet"/>
      <w:lvlText w:val=""/>
      <w:lvlJc w:val="left"/>
      <w:pPr>
        <w:ind w:left="1452" w:hanging="360"/>
      </w:pPr>
      <w:rPr>
        <w:rFonts w:ascii="Symbol" w:hAnsi="Symbol" w:hint="default"/>
      </w:rPr>
    </w:lvl>
    <w:lvl w:ilvl="4" w:tplc="04090003" w:tentative="1">
      <w:start w:val="1"/>
      <w:numFmt w:val="bullet"/>
      <w:lvlText w:val="o"/>
      <w:lvlJc w:val="left"/>
      <w:pPr>
        <w:ind w:left="2172" w:hanging="360"/>
      </w:pPr>
      <w:rPr>
        <w:rFonts w:ascii="Courier New" w:hAnsi="Courier New" w:cs="Courier New" w:hint="default"/>
      </w:rPr>
    </w:lvl>
    <w:lvl w:ilvl="5" w:tplc="04090005" w:tentative="1">
      <w:start w:val="1"/>
      <w:numFmt w:val="bullet"/>
      <w:lvlText w:val=""/>
      <w:lvlJc w:val="left"/>
      <w:pPr>
        <w:ind w:left="2892" w:hanging="360"/>
      </w:pPr>
      <w:rPr>
        <w:rFonts w:ascii="Wingdings" w:hAnsi="Wingdings" w:hint="default"/>
      </w:rPr>
    </w:lvl>
    <w:lvl w:ilvl="6" w:tplc="04090001" w:tentative="1">
      <w:start w:val="1"/>
      <w:numFmt w:val="bullet"/>
      <w:lvlText w:val=""/>
      <w:lvlJc w:val="left"/>
      <w:pPr>
        <w:ind w:left="3612" w:hanging="360"/>
      </w:pPr>
      <w:rPr>
        <w:rFonts w:ascii="Symbol" w:hAnsi="Symbol" w:hint="default"/>
      </w:rPr>
    </w:lvl>
    <w:lvl w:ilvl="7" w:tplc="04090003" w:tentative="1">
      <w:start w:val="1"/>
      <w:numFmt w:val="bullet"/>
      <w:lvlText w:val="o"/>
      <w:lvlJc w:val="left"/>
      <w:pPr>
        <w:ind w:left="4332" w:hanging="360"/>
      </w:pPr>
      <w:rPr>
        <w:rFonts w:ascii="Courier New" w:hAnsi="Courier New" w:cs="Courier New" w:hint="default"/>
      </w:rPr>
    </w:lvl>
    <w:lvl w:ilvl="8" w:tplc="04090005" w:tentative="1">
      <w:start w:val="1"/>
      <w:numFmt w:val="bullet"/>
      <w:lvlText w:val=""/>
      <w:lvlJc w:val="left"/>
      <w:pPr>
        <w:ind w:left="5052" w:hanging="360"/>
      </w:pPr>
      <w:rPr>
        <w:rFonts w:ascii="Wingdings" w:hAnsi="Wingdings" w:hint="default"/>
      </w:rPr>
    </w:lvl>
  </w:abstractNum>
  <w:abstractNum w:abstractNumId="10"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904248"/>
    <w:multiLevelType w:val="hybridMultilevel"/>
    <w:tmpl w:val="2F4CCA88"/>
    <w:lvl w:ilvl="0" w:tplc="D05CE31C">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36173DB5"/>
    <w:multiLevelType w:val="hybridMultilevel"/>
    <w:tmpl w:val="10027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E84CE7"/>
    <w:multiLevelType w:val="hybridMultilevel"/>
    <w:tmpl w:val="2F4842EA"/>
    <w:lvl w:ilvl="0" w:tplc="69A0AD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D69189F"/>
    <w:multiLevelType w:val="hybridMultilevel"/>
    <w:tmpl w:val="92C285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39B457B"/>
    <w:multiLevelType w:val="hybridMultilevel"/>
    <w:tmpl w:val="767867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4C87865"/>
    <w:multiLevelType w:val="multilevel"/>
    <w:tmpl w:val="0ECB426C"/>
    <w:lvl w:ilvl="0">
      <w:numFmt w:val="bullet"/>
      <w:lvlText w:val=""/>
      <w:lvlJc w:val="left"/>
      <w:pPr>
        <w:ind w:left="363" w:hanging="360"/>
      </w:pPr>
      <w:rPr>
        <w:rFonts w:ascii="Symbol" w:eastAsia="Batang" w:hAnsi="Symbol" w:cs="Calibri"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20" w15:restartNumberingAfterBreak="0">
    <w:nsid w:val="4D12657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2"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367926"/>
    <w:multiLevelType w:val="hybridMultilevel"/>
    <w:tmpl w:val="1D0E0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6AC2266"/>
    <w:multiLevelType w:val="hybridMultilevel"/>
    <w:tmpl w:val="A68010B0"/>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78812FA"/>
    <w:multiLevelType w:val="hybridMultilevel"/>
    <w:tmpl w:val="B0E4A5EA"/>
    <w:lvl w:ilvl="0" w:tplc="7C6EF64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9" w15:restartNumberingAfterBreak="0">
    <w:nsid w:val="6DF93D1F"/>
    <w:multiLevelType w:val="hybridMultilevel"/>
    <w:tmpl w:val="FB802AA2"/>
    <w:lvl w:ilvl="0" w:tplc="78CEFFB0">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8A343F"/>
    <w:multiLevelType w:val="hybridMultilevel"/>
    <w:tmpl w:val="23EC907C"/>
    <w:lvl w:ilvl="0" w:tplc="3468FD2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7E6C4A"/>
    <w:multiLevelType w:val="hybridMultilevel"/>
    <w:tmpl w:val="3558EB4E"/>
    <w:lvl w:ilvl="0" w:tplc="3468FD22">
      <w:start w:val="1"/>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84A03C2"/>
    <w:multiLevelType w:val="hybridMultilevel"/>
    <w:tmpl w:val="C3B224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BB10BB7"/>
    <w:multiLevelType w:val="hybridMultilevel"/>
    <w:tmpl w:val="FF6A1472"/>
    <w:lvl w:ilvl="0" w:tplc="84B2191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96839022">
    <w:abstractNumId w:val="17"/>
  </w:num>
  <w:num w:numId="2" w16cid:durableId="191774664">
    <w:abstractNumId w:val="16"/>
  </w:num>
  <w:num w:numId="3" w16cid:durableId="1871991975">
    <w:abstractNumId w:val="30"/>
  </w:num>
  <w:num w:numId="4" w16cid:durableId="667295110">
    <w:abstractNumId w:val="5"/>
  </w:num>
  <w:num w:numId="5" w16cid:durableId="1677078568">
    <w:abstractNumId w:val="23"/>
  </w:num>
  <w:num w:numId="6" w16cid:durableId="1474130103">
    <w:abstractNumId w:val="8"/>
  </w:num>
  <w:num w:numId="7" w16cid:durableId="377555426">
    <w:abstractNumId w:val="7"/>
  </w:num>
  <w:num w:numId="8" w16cid:durableId="530218003">
    <w:abstractNumId w:val="22"/>
  </w:num>
  <w:num w:numId="9" w16cid:durableId="1099522662">
    <w:abstractNumId w:val="25"/>
  </w:num>
  <w:num w:numId="10" w16cid:durableId="1315335334">
    <w:abstractNumId w:val="21"/>
  </w:num>
  <w:num w:numId="11" w16cid:durableId="1530874606">
    <w:abstractNumId w:val="11"/>
  </w:num>
  <w:num w:numId="12" w16cid:durableId="1749107068">
    <w:abstractNumId w:val="4"/>
  </w:num>
  <w:num w:numId="13" w16cid:durableId="915479581">
    <w:abstractNumId w:val="10"/>
  </w:num>
  <w:num w:numId="14" w16cid:durableId="1513303153">
    <w:abstractNumId w:val="28"/>
  </w:num>
  <w:num w:numId="15" w16cid:durableId="1917275702">
    <w:abstractNumId w:val="33"/>
  </w:num>
  <w:num w:numId="16" w16cid:durableId="1339580049">
    <w:abstractNumId w:val="26"/>
  </w:num>
  <w:num w:numId="17" w16cid:durableId="1992516150">
    <w:abstractNumId w:val="6"/>
  </w:num>
  <w:num w:numId="18" w16cid:durableId="1312903603">
    <w:abstractNumId w:val="15"/>
  </w:num>
  <w:num w:numId="19" w16cid:durableId="1590429370">
    <w:abstractNumId w:val="3"/>
  </w:num>
  <w:num w:numId="20" w16cid:durableId="247231627">
    <w:abstractNumId w:val="9"/>
  </w:num>
  <w:num w:numId="21" w16cid:durableId="1438402846">
    <w:abstractNumId w:val="13"/>
  </w:num>
  <w:num w:numId="22" w16cid:durableId="1055205225">
    <w:abstractNumId w:val="24"/>
  </w:num>
  <w:num w:numId="23" w16cid:durableId="697704407">
    <w:abstractNumId w:val="32"/>
  </w:num>
  <w:num w:numId="24" w16cid:durableId="1097403970">
    <w:abstractNumId w:val="31"/>
  </w:num>
  <w:num w:numId="25" w16cid:durableId="1896119574">
    <w:abstractNumId w:val="2"/>
  </w:num>
  <w:num w:numId="26" w16cid:durableId="329531843">
    <w:abstractNumId w:val="19"/>
  </w:num>
  <w:num w:numId="27" w16cid:durableId="1093863228">
    <w:abstractNumId w:val="20"/>
  </w:num>
  <w:num w:numId="28" w16cid:durableId="200436519">
    <w:abstractNumId w:val="18"/>
  </w:num>
  <w:num w:numId="29" w16cid:durableId="869997858">
    <w:abstractNumId w:val="1"/>
  </w:num>
  <w:num w:numId="30" w16cid:durableId="1247496725">
    <w:abstractNumId w:val="29"/>
  </w:num>
  <w:num w:numId="31" w16cid:durableId="308678074">
    <w:abstractNumId w:val="0"/>
  </w:num>
  <w:num w:numId="32" w16cid:durableId="1563324542">
    <w:abstractNumId w:val="17"/>
  </w:num>
  <w:num w:numId="33" w16cid:durableId="1893230813">
    <w:abstractNumId w:val="17"/>
  </w:num>
  <w:num w:numId="34" w16cid:durableId="245189903">
    <w:abstractNumId w:val="17"/>
  </w:num>
  <w:num w:numId="35" w16cid:durableId="1042753446">
    <w:abstractNumId w:val="14"/>
  </w:num>
  <w:num w:numId="36" w16cid:durableId="2079590952">
    <w:abstractNumId w:val="34"/>
  </w:num>
  <w:num w:numId="37" w16cid:durableId="615142080">
    <w:abstractNumId w:val="12"/>
  </w:num>
  <w:num w:numId="38" w16cid:durableId="1097562668">
    <w:abstractNumId w:val="4"/>
  </w:num>
  <w:num w:numId="39" w16cid:durableId="2088526251">
    <w:abstractNumId w:val="4"/>
  </w:num>
  <w:num w:numId="40" w16cid:durableId="1163812341">
    <w:abstractNumId w:val="27"/>
  </w:num>
  <w:num w:numId="41" w16cid:durableId="1436561445">
    <w:abstractNumId w:val="4"/>
  </w:num>
  <w:num w:numId="42" w16cid:durableId="1801650596">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proofState w:spelling="clean" w:grammar="clean"/>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sqgFAEaq5jUtAAAA"/>
  </w:docVars>
  <w:rsids>
    <w:rsidRoot w:val="00FB3C9D"/>
    <w:rsid w:val="000007DD"/>
    <w:rsid w:val="0000088E"/>
    <w:rsid w:val="00001242"/>
    <w:rsid w:val="00010E0C"/>
    <w:rsid w:val="00011A21"/>
    <w:rsid w:val="00014E4C"/>
    <w:rsid w:val="000150AA"/>
    <w:rsid w:val="00015DBC"/>
    <w:rsid w:val="00017121"/>
    <w:rsid w:val="00017609"/>
    <w:rsid w:val="000219C6"/>
    <w:rsid w:val="00033E8E"/>
    <w:rsid w:val="00034B3C"/>
    <w:rsid w:val="00041594"/>
    <w:rsid w:val="00042B60"/>
    <w:rsid w:val="00044D3C"/>
    <w:rsid w:val="00046D62"/>
    <w:rsid w:val="000548E5"/>
    <w:rsid w:val="000557A6"/>
    <w:rsid w:val="000571A8"/>
    <w:rsid w:val="00064493"/>
    <w:rsid w:val="00064911"/>
    <w:rsid w:val="0009085A"/>
    <w:rsid w:val="0009509B"/>
    <w:rsid w:val="000A659A"/>
    <w:rsid w:val="000B7A5D"/>
    <w:rsid w:val="000C7167"/>
    <w:rsid w:val="000D4675"/>
    <w:rsid w:val="000D4B5F"/>
    <w:rsid w:val="000F2197"/>
    <w:rsid w:val="0010049B"/>
    <w:rsid w:val="00100725"/>
    <w:rsid w:val="00103D3F"/>
    <w:rsid w:val="00105274"/>
    <w:rsid w:val="00105834"/>
    <w:rsid w:val="0011314E"/>
    <w:rsid w:val="00114ADA"/>
    <w:rsid w:val="00116ED1"/>
    <w:rsid w:val="00120B41"/>
    <w:rsid w:val="00126A6B"/>
    <w:rsid w:val="0012753A"/>
    <w:rsid w:val="00136D1F"/>
    <w:rsid w:val="00140747"/>
    <w:rsid w:val="0014425F"/>
    <w:rsid w:val="00146E5B"/>
    <w:rsid w:val="00147262"/>
    <w:rsid w:val="001621DD"/>
    <w:rsid w:val="001632EC"/>
    <w:rsid w:val="00167BEA"/>
    <w:rsid w:val="00171F21"/>
    <w:rsid w:val="001849E5"/>
    <w:rsid w:val="001934D9"/>
    <w:rsid w:val="001B3D23"/>
    <w:rsid w:val="001B490B"/>
    <w:rsid w:val="001B64DA"/>
    <w:rsid w:val="001C3126"/>
    <w:rsid w:val="001D1836"/>
    <w:rsid w:val="001D74B2"/>
    <w:rsid w:val="002034C4"/>
    <w:rsid w:val="002070B3"/>
    <w:rsid w:val="00212650"/>
    <w:rsid w:val="002226D1"/>
    <w:rsid w:val="00225803"/>
    <w:rsid w:val="002263CB"/>
    <w:rsid w:val="002269C1"/>
    <w:rsid w:val="00227211"/>
    <w:rsid w:val="00227292"/>
    <w:rsid w:val="00231ED6"/>
    <w:rsid w:val="00235180"/>
    <w:rsid w:val="00244866"/>
    <w:rsid w:val="002536CA"/>
    <w:rsid w:val="00257DD1"/>
    <w:rsid w:val="00260206"/>
    <w:rsid w:val="0026303B"/>
    <w:rsid w:val="00263DE2"/>
    <w:rsid w:val="00270CD8"/>
    <w:rsid w:val="002713D3"/>
    <w:rsid w:val="00272753"/>
    <w:rsid w:val="00276BFA"/>
    <w:rsid w:val="0027707F"/>
    <w:rsid w:val="002833CC"/>
    <w:rsid w:val="00283719"/>
    <w:rsid w:val="00283C1B"/>
    <w:rsid w:val="0028589E"/>
    <w:rsid w:val="002A4986"/>
    <w:rsid w:val="002B125C"/>
    <w:rsid w:val="002B402A"/>
    <w:rsid w:val="002B418D"/>
    <w:rsid w:val="002B51EB"/>
    <w:rsid w:val="002C0372"/>
    <w:rsid w:val="002C2EFE"/>
    <w:rsid w:val="002D533B"/>
    <w:rsid w:val="002E5A7B"/>
    <w:rsid w:val="002E5F91"/>
    <w:rsid w:val="002E6468"/>
    <w:rsid w:val="002E6820"/>
    <w:rsid w:val="002F16A4"/>
    <w:rsid w:val="002F3346"/>
    <w:rsid w:val="002F6B1B"/>
    <w:rsid w:val="0030655C"/>
    <w:rsid w:val="00306EDF"/>
    <w:rsid w:val="00311FDC"/>
    <w:rsid w:val="003134B3"/>
    <w:rsid w:val="0031390F"/>
    <w:rsid w:val="00320928"/>
    <w:rsid w:val="00325BFC"/>
    <w:rsid w:val="00336AE4"/>
    <w:rsid w:val="00336DBA"/>
    <w:rsid w:val="0034226A"/>
    <w:rsid w:val="00343017"/>
    <w:rsid w:val="00355E21"/>
    <w:rsid w:val="0036701C"/>
    <w:rsid w:val="00391515"/>
    <w:rsid w:val="003B1723"/>
    <w:rsid w:val="003B392E"/>
    <w:rsid w:val="003C2081"/>
    <w:rsid w:val="003C43B0"/>
    <w:rsid w:val="003C5B49"/>
    <w:rsid w:val="003D1DDD"/>
    <w:rsid w:val="003D232F"/>
    <w:rsid w:val="003D6D0D"/>
    <w:rsid w:val="003D7775"/>
    <w:rsid w:val="003E3AFA"/>
    <w:rsid w:val="003F0359"/>
    <w:rsid w:val="00405549"/>
    <w:rsid w:val="004060D7"/>
    <w:rsid w:val="0041279E"/>
    <w:rsid w:val="00414E85"/>
    <w:rsid w:val="00420C85"/>
    <w:rsid w:val="00426961"/>
    <w:rsid w:val="00431991"/>
    <w:rsid w:val="0043359C"/>
    <w:rsid w:val="0043433F"/>
    <w:rsid w:val="00441320"/>
    <w:rsid w:val="00441DA1"/>
    <w:rsid w:val="00466280"/>
    <w:rsid w:val="00466D8A"/>
    <w:rsid w:val="00476F75"/>
    <w:rsid w:val="0048038A"/>
    <w:rsid w:val="004A0C25"/>
    <w:rsid w:val="004A2923"/>
    <w:rsid w:val="004A37B0"/>
    <w:rsid w:val="004B4948"/>
    <w:rsid w:val="004B4F9E"/>
    <w:rsid w:val="004C4B19"/>
    <w:rsid w:val="004C4DAE"/>
    <w:rsid w:val="004C5E5B"/>
    <w:rsid w:val="004D1103"/>
    <w:rsid w:val="004D6D56"/>
    <w:rsid w:val="004E27AC"/>
    <w:rsid w:val="004E3C37"/>
    <w:rsid w:val="004F0F81"/>
    <w:rsid w:val="004F69FC"/>
    <w:rsid w:val="0050494D"/>
    <w:rsid w:val="00515E48"/>
    <w:rsid w:val="0052502E"/>
    <w:rsid w:val="00530509"/>
    <w:rsid w:val="00531313"/>
    <w:rsid w:val="00533156"/>
    <w:rsid w:val="0053332F"/>
    <w:rsid w:val="005365BA"/>
    <w:rsid w:val="00540504"/>
    <w:rsid w:val="005410C9"/>
    <w:rsid w:val="00542290"/>
    <w:rsid w:val="005442E9"/>
    <w:rsid w:val="0055520B"/>
    <w:rsid w:val="00555521"/>
    <w:rsid w:val="00556FD2"/>
    <w:rsid w:val="005608F2"/>
    <w:rsid w:val="0056179B"/>
    <w:rsid w:val="005638A4"/>
    <w:rsid w:val="00566B26"/>
    <w:rsid w:val="00567143"/>
    <w:rsid w:val="00570340"/>
    <w:rsid w:val="00575B23"/>
    <w:rsid w:val="005934DD"/>
    <w:rsid w:val="005938C5"/>
    <w:rsid w:val="0059679F"/>
    <w:rsid w:val="005B5AE3"/>
    <w:rsid w:val="005D17B0"/>
    <w:rsid w:val="005E1135"/>
    <w:rsid w:val="005E411B"/>
    <w:rsid w:val="005E52A0"/>
    <w:rsid w:val="005E63A4"/>
    <w:rsid w:val="005E7F5A"/>
    <w:rsid w:val="00600046"/>
    <w:rsid w:val="00610954"/>
    <w:rsid w:val="00611260"/>
    <w:rsid w:val="00611615"/>
    <w:rsid w:val="0061237A"/>
    <w:rsid w:val="00613669"/>
    <w:rsid w:val="00614C44"/>
    <w:rsid w:val="00615C67"/>
    <w:rsid w:val="00620896"/>
    <w:rsid w:val="00621611"/>
    <w:rsid w:val="00627ECA"/>
    <w:rsid w:val="0063514E"/>
    <w:rsid w:val="00635370"/>
    <w:rsid w:val="00635B3F"/>
    <w:rsid w:val="0064093A"/>
    <w:rsid w:val="00670AEE"/>
    <w:rsid w:val="00673166"/>
    <w:rsid w:val="00673954"/>
    <w:rsid w:val="006917F4"/>
    <w:rsid w:val="006975C4"/>
    <w:rsid w:val="006A085B"/>
    <w:rsid w:val="006A1AC5"/>
    <w:rsid w:val="006A7CF0"/>
    <w:rsid w:val="006B1791"/>
    <w:rsid w:val="006B37FB"/>
    <w:rsid w:val="006B6770"/>
    <w:rsid w:val="006C7EE5"/>
    <w:rsid w:val="006E665D"/>
    <w:rsid w:val="006E7A2E"/>
    <w:rsid w:val="006F0C7A"/>
    <w:rsid w:val="006F2B2B"/>
    <w:rsid w:val="006F3E47"/>
    <w:rsid w:val="00702FC5"/>
    <w:rsid w:val="00711CCE"/>
    <w:rsid w:val="00713D98"/>
    <w:rsid w:val="00741CE7"/>
    <w:rsid w:val="00744E94"/>
    <w:rsid w:val="007456E8"/>
    <w:rsid w:val="00750D45"/>
    <w:rsid w:val="00753C4A"/>
    <w:rsid w:val="007554CA"/>
    <w:rsid w:val="00756022"/>
    <w:rsid w:val="00756256"/>
    <w:rsid w:val="00760187"/>
    <w:rsid w:val="00760D73"/>
    <w:rsid w:val="00761F63"/>
    <w:rsid w:val="00764DB6"/>
    <w:rsid w:val="00787E33"/>
    <w:rsid w:val="00791EF7"/>
    <w:rsid w:val="00795873"/>
    <w:rsid w:val="007A3C4A"/>
    <w:rsid w:val="007A6E89"/>
    <w:rsid w:val="007B18C2"/>
    <w:rsid w:val="007B29AF"/>
    <w:rsid w:val="007B451D"/>
    <w:rsid w:val="007E0864"/>
    <w:rsid w:val="007E7F45"/>
    <w:rsid w:val="007F1CAD"/>
    <w:rsid w:val="007F3AC5"/>
    <w:rsid w:val="007F3F48"/>
    <w:rsid w:val="007F46FD"/>
    <w:rsid w:val="007F6D44"/>
    <w:rsid w:val="008062BF"/>
    <w:rsid w:val="00817132"/>
    <w:rsid w:val="00822734"/>
    <w:rsid w:val="00824391"/>
    <w:rsid w:val="00824411"/>
    <w:rsid w:val="008249A4"/>
    <w:rsid w:val="00825044"/>
    <w:rsid w:val="00825AAE"/>
    <w:rsid w:val="008371CA"/>
    <w:rsid w:val="00842380"/>
    <w:rsid w:val="00846160"/>
    <w:rsid w:val="00853D38"/>
    <w:rsid w:val="00853E3F"/>
    <w:rsid w:val="00854DEF"/>
    <w:rsid w:val="00862119"/>
    <w:rsid w:val="0086243E"/>
    <w:rsid w:val="008676B6"/>
    <w:rsid w:val="00875D2C"/>
    <w:rsid w:val="00876542"/>
    <w:rsid w:val="008915DE"/>
    <w:rsid w:val="008934BB"/>
    <w:rsid w:val="008A250A"/>
    <w:rsid w:val="008C466E"/>
    <w:rsid w:val="008C6617"/>
    <w:rsid w:val="008C6AB2"/>
    <w:rsid w:val="008E399F"/>
    <w:rsid w:val="008E5B3C"/>
    <w:rsid w:val="00901733"/>
    <w:rsid w:val="00926280"/>
    <w:rsid w:val="00926821"/>
    <w:rsid w:val="00927B95"/>
    <w:rsid w:val="00930A3A"/>
    <w:rsid w:val="00932A4E"/>
    <w:rsid w:val="00935B18"/>
    <w:rsid w:val="00950EBF"/>
    <w:rsid w:val="00953EC5"/>
    <w:rsid w:val="00961613"/>
    <w:rsid w:val="00975DDB"/>
    <w:rsid w:val="009811BD"/>
    <w:rsid w:val="009814D3"/>
    <w:rsid w:val="009921A1"/>
    <w:rsid w:val="009A1E29"/>
    <w:rsid w:val="009A2C19"/>
    <w:rsid w:val="009B025D"/>
    <w:rsid w:val="009B0850"/>
    <w:rsid w:val="009B1A4B"/>
    <w:rsid w:val="009B3EEA"/>
    <w:rsid w:val="009B7064"/>
    <w:rsid w:val="009E1DE7"/>
    <w:rsid w:val="009F6A07"/>
    <w:rsid w:val="00A036F8"/>
    <w:rsid w:val="00A03E9F"/>
    <w:rsid w:val="00A058BE"/>
    <w:rsid w:val="00A1181E"/>
    <w:rsid w:val="00A12392"/>
    <w:rsid w:val="00A1374E"/>
    <w:rsid w:val="00A15127"/>
    <w:rsid w:val="00A23AA2"/>
    <w:rsid w:val="00A25F07"/>
    <w:rsid w:val="00A33704"/>
    <w:rsid w:val="00A40869"/>
    <w:rsid w:val="00A458A5"/>
    <w:rsid w:val="00A56411"/>
    <w:rsid w:val="00A63512"/>
    <w:rsid w:val="00A70119"/>
    <w:rsid w:val="00A7379D"/>
    <w:rsid w:val="00A75972"/>
    <w:rsid w:val="00A8226D"/>
    <w:rsid w:val="00A84EC4"/>
    <w:rsid w:val="00A86924"/>
    <w:rsid w:val="00A876E8"/>
    <w:rsid w:val="00A95794"/>
    <w:rsid w:val="00AA6B7A"/>
    <w:rsid w:val="00AB44D2"/>
    <w:rsid w:val="00AC11D5"/>
    <w:rsid w:val="00AC4306"/>
    <w:rsid w:val="00AD20CE"/>
    <w:rsid w:val="00AE085F"/>
    <w:rsid w:val="00AE1A6B"/>
    <w:rsid w:val="00AE2A69"/>
    <w:rsid w:val="00AE4F06"/>
    <w:rsid w:val="00AF4EE0"/>
    <w:rsid w:val="00B024A0"/>
    <w:rsid w:val="00B03764"/>
    <w:rsid w:val="00B03FBE"/>
    <w:rsid w:val="00B12BCD"/>
    <w:rsid w:val="00B22EA9"/>
    <w:rsid w:val="00B3155F"/>
    <w:rsid w:val="00B3229F"/>
    <w:rsid w:val="00B33807"/>
    <w:rsid w:val="00B36F52"/>
    <w:rsid w:val="00B43DBF"/>
    <w:rsid w:val="00B57277"/>
    <w:rsid w:val="00B57F2F"/>
    <w:rsid w:val="00B661F3"/>
    <w:rsid w:val="00B863C8"/>
    <w:rsid w:val="00B87C95"/>
    <w:rsid w:val="00B91F02"/>
    <w:rsid w:val="00BB0041"/>
    <w:rsid w:val="00BB1DC4"/>
    <w:rsid w:val="00BB69CD"/>
    <w:rsid w:val="00BC1DD5"/>
    <w:rsid w:val="00BC492C"/>
    <w:rsid w:val="00BD2BBC"/>
    <w:rsid w:val="00BD2C36"/>
    <w:rsid w:val="00BD352C"/>
    <w:rsid w:val="00BE3519"/>
    <w:rsid w:val="00BE3DD1"/>
    <w:rsid w:val="00BE4114"/>
    <w:rsid w:val="00BF0625"/>
    <w:rsid w:val="00BF3AC0"/>
    <w:rsid w:val="00BF550E"/>
    <w:rsid w:val="00C002A0"/>
    <w:rsid w:val="00C06EF0"/>
    <w:rsid w:val="00C16105"/>
    <w:rsid w:val="00C16B81"/>
    <w:rsid w:val="00C344D4"/>
    <w:rsid w:val="00C3532F"/>
    <w:rsid w:val="00C37499"/>
    <w:rsid w:val="00C37891"/>
    <w:rsid w:val="00C41883"/>
    <w:rsid w:val="00C42A97"/>
    <w:rsid w:val="00C47710"/>
    <w:rsid w:val="00C511E1"/>
    <w:rsid w:val="00C526C1"/>
    <w:rsid w:val="00C56DCD"/>
    <w:rsid w:val="00C6255F"/>
    <w:rsid w:val="00C66555"/>
    <w:rsid w:val="00C725E6"/>
    <w:rsid w:val="00C74C39"/>
    <w:rsid w:val="00C76F3A"/>
    <w:rsid w:val="00C77204"/>
    <w:rsid w:val="00C85D2E"/>
    <w:rsid w:val="00C8627C"/>
    <w:rsid w:val="00C94308"/>
    <w:rsid w:val="00C97B0E"/>
    <w:rsid w:val="00CA7E46"/>
    <w:rsid w:val="00CC2EA5"/>
    <w:rsid w:val="00CD13DA"/>
    <w:rsid w:val="00CD15DE"/>
    <w:rsid w:val="00CE12EE"/>
    <w:rsid w:val="00CF64BE"/>
    <w:rsid w:val="00D038C7"/>
    <w:rsid w:val="00D107F2"/>
    <w:rsid w:val="00D16A6F"/>
    <w:rsid w:val="00D21EA7"/>
    <w:rsid w:val="00D355FB"/>
    <w:rsid w:val="00D35E46"/>
    <w:rsid w:val="00D37670"/>
    <w:rsid w:val="00D43664"/>
    <w:rsid w:val="00D43F4B"/>
    <w:rsid w:val="00D448DB"/>
    <w:rsid w:val="00D46CD8"/>
    <w:rsid w:val="00D57B2C"/>
    <w:rsid w:val="00D63EF1"/>
    <w:rsid w:val="00D64249"/>
    <w:rsid w:val="00D71C3B"/>
    <w:rsid w:val="00D7636A"/>
    <w:rsid w:val="00D80061"/>
    <w:rsid w:val="00D86EEF"/>
    <w:rsid w:val="00D92685"/>
    <w:rsid w:val="00D92A8D"/>
    <w:rsid w:val="00D95AC6"/>
    <w:rsid w:val="00DB3D8D"/>
    <w:rsid w:val="00DB4E0D"/>
    <w:rsid w:val="00DB5A7D"/>
    <w:rsid w:val="00DC2E5F"/>
    <w:rsid w:val="00DC3FA1"/>
    <w:rsid w:val="00DD2B5D"/>
    <w:rsid w:val="00DE1A86"/>
    <w:rsid w:val="00DE786F"/>
    <w:rsid w:val="00DF3EB7"/>
    <w:rsid w:val="00DF5B02"/>
    <w:rsid w:val="00E123D2"/>
    <w:rsid w:val="00E162DC"/>
    <w:rsid w:val="00E17AA9"/>
    <w:rsid w:val="00E215A1"/>
    <w:rsid w:val="00E23DF5"/>
    <w:rsid w:val="00E26695"/>
    <w:rsid w:val="00E266A8"/>
    <w:rsid w:val="00E31D0E"/>
    <w:rsid w:val="00E42BA3"/>
    <w:rsid w:val="00E446DB"/>
    <w:rsid w:val="00E54656"/>
    <w:rsid w:val="00E62395"/>
    <w:rsid w:val="00E66442"/>
    <w:rsid w:val="00E67BF0"/>
    <w:rsid w:val="00E71DB8"/>
    <w:rsid w:val="00E75D46"/>
    <w:rsid w:val="00E92566"/>
    <w:rsid w:val="00EA7B3C"/>
    <w:rsid w:val="00EB6D3E"/>
    <w:rsid w:val="00EB76D3"/>
    <w:rsid w:val="00EC29ED"/>
    <w:rsid w:val="00EC4AA3"/>
    <w:rsid w:val="00EC7C06"/>
    <w:rsid w:val="00EC7C5D"/>
    <w:rsid w:val="00ED511C"/>
    <w:rsid w:val="00EE2622"/>
    <w:rsid w:val="00EE4421"/>
    <w:rsid w:val="00EE48B1"/>
    <w:rsid w:val="00EE787E"/>
    <w:rsid w:val="00EF668E"/>
    <w:rsid w:val="00EF66BE"/>
    <w:rsid w:val="00EF77CC"/>
    <w:rsid w:val="00F030F6"/>
    <w:rsid w:val="00F10671"/>
    <w:rsid w:val="00F1559D"/>
    <w:rsid w:val="00F15C90"/>
    <w:rsid w:val="00F20082"/>
    <w:rsid w:val="00F20FBE"/>
    <w:rsid w:val="00F26B98"/>
    <w:rsid w:val="00F33D9C"/>
    <w:rsid w:val="00F35EAA"/>
    <w:rsid w:val="00F407D5"/>
    <w:rsid w:val="00F40F5D"/>
    <w:rsid w:val="00F4111A"/>
    <w:rsid w:val="00F51663"/>
    <w:rsid w:val="00F61BEB"/>
    <w:rsid w:val="00F702F9"/>
    <w:rsid w:val="00F71B59"/>
    <w:rsid w:val="00F722B2"/>
    <w:rsid w:val="00F74450"/>
    <w:rsid w:val="00F80844"/>
    <w:rsid w:val="00F87B7A"/>
    <w:rsid w:val="00FA5269"/>
    <w:rsid w:val="00FA74B3"/>
    <w:rsid w:val="00FB0D73"/>
    <w:rsid w:val="00FB2414"/>
    <w:rsid w:val="00FB2C7D"/>
    <w:rsid w:val="00FB3C9D"/>
    <w:rsid w:val="00FB7245"/>
    <w:rsid w:val="00FC0C2F"/>
    <w:rsid w:val="00FC33C8"/>
    <w:rsid w:val="00FC6C49"/>
    <w:rsid w:val="00FD0523"/>
    <w:rsid w:val="00FD571C"/>
    <w:rsid w:val="00FD5D3C"/>
    <w:rsid w:val="00FE085C"/>
    <w:rsid w:val="00FE4207"/>
    <w:rsid w:val="00FE6A8C"/>
    <w:rsid w:val="00FF1D47"/>
    <w:rsid w:val="00FF3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36B55"/>
  <w15:docId w15:val="{9FB8C93F-9861-487D-A8B2-8D3BDD417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D15DE"/>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rsid w:val="00AD20CE"/>
    <w:pPr>
      <w:numPr>
        <w:numId w:val="14"/>
      </w:numPr>
      <w:tabs>
        <w:tab w:val="left" w:pos="1304"/>
      </w:tabs>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2E5F91"/>
    <w:rPr>
      <w:rFonts w:ascii="Times" w:eastAsia="Batang" w:hAnsi="Times"/>
      <w:szCs w:val="24"/>
      <w:lang w:val="en-GB" w:eastAsia="x-none"/>
    </w:rPr>
  </w:style>
  <w:style w:type="character" w:styleId="afff">
    <w:name w:val="Unresolved Mention"/>
    <w:basedOn w:val="a1"/>
    <w:uiPriority w:val="99"/>
    <w:semiHidden/>
    <w:unhideWhenUsed/>
    <w:rsid w:val="00932A4E"/>
    <w:rPr>
      <w:color w:val="605E5C"/>
      <w:shd w:val="clear" w:color="auto" w:fill="E1DFDD"/>
    </w:rPr>
  </w:style>
  <w:style w:type="character" w:customStyle="1" w:styleId="B1Zchn">
    <w:name w:val="B1 Zchn"/>
    <w:rsid w:val="00F4111A"/>
    <w:rPr>
      <w:rFonts w:eastAsia="Times New Roman"/>
    </w:rPr>
  </w:style>
  <w:style w:type="character" w:customStyle="1" w:styleId="0MaintextChar">
    <w:name w:val="0 Main text Char"/>
    <w:link w:val="0Maintext"/>
    <w:qFormat/>
    <w:locked/>
    <w:rsid w:val="00600046"/>
    <w:rPr>
      <w:lang w:val="en-GB" w:eastAsia="en-US"/>
    </w:rPr>
  </w:style>
  <w:style w:type="paragraph" w:customStyle="1" w:styleId="0Maintext">
    <w:name w:val="0 Main text"/>
    <w:basedOn w:val="a0"/>
    <w:link w:val="0MaintextChar"/>
    <w:qFormat/>
    <w:rsid w:val="00600046"/>
    <w:pPr>
      <w:pBdr>
        <w:top w:val="none" w:sz="0" w:space="0" w:color="auto"/>
        <w:left w:val="none" w:sz="0" w:space="0" w:color="auto"/>
        <w:bottom w:val="none" w:sz="0" w:space="0" w:color="auto"/>
        <w:right w:val="none" w:sz="0" w:space="0" w:color="auto"/>
        <w:between w:val="none" w:sz="0" w:space="0" w:color="auto"/>
      </w:pBdr>
      <w:spacing w:after="0"/>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346023">
      <w:bodyDiv w:val="1"/>
      <w:marLeft w:val="0"/>
      <w:marRight w:val="0"/>
      <w:marTop w:val="0"/>
      <w:marBottom w:val="0"/>
      <w:divBdr>
        <w:top w:val="none" w:sz="0" w:space="0" w:color="auto"/>
        <w:left w:val="none" w:sz="0" w:space="0" w:color="auto"/>
        <w:bottom w:val="none" w:sz="0" w:space="0" w:color="auto"/>
        <w:right w:val="none" w:sz="0" w:space="0" w:color="auto"/>
      </w:divBdr>
    </w:div>
    <w:div w:id="616719786">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9440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5700F-9DF7-4CE9-9FA0-241B0B393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4</Pages>
  <Words>1314</Words>
  <Characters>7492</Characters>
  <Application>Microsoft Office Word</Application>
  <DocSecurity>0</DocSecurity>
  <Lines>62</Lines>
  <Paragraphs>17</Paragraphs>
  <ScaleCrop>false</ScaleCrop>
  <Company/>
  <LinksUpToDate>false</LinksUpToDate>
  <CharactersWithSpaces>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(Qianxi Lu)</cp:lastModifiedBy>
  <cp:revision>8</cp:revision>
  <dcterms:created xsi:type="dcterms:W3CDTF">2023-02-17T02:26:00Z</dcterms:created>
  <dcterms:modified xsi:type="dcterms:W3CDTF">2023-04-07T03:01:00Z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dc912a1fc4910ccdc7a4a40a1456ba25975e8efd69a1ddb135515136f63ec94e</vt:lpwstr>
  </property>
</Properties>
</file>